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430F7" w14:paraId="0075A657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45675" w14:textId="77777777" w:rsidR="009430F7" w:rsidRDefault="009430F7" w:rsidP="00943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9E533" wp14:editId="3CBAB3CA">
                  <wp:extent cx="2095500" cy="1263650"/>
                  <wp:effectExtent l="0" t="0" r="0" b="0"/>
                  <wp:docPr id="2" name="Picture 3" descr="cid:image001.jpg@01D7BC3F.26C6C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cid:image001.jpg@01D7BC3F.26C6C0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0F7" w14:paraId="59398138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B174C" w14:textId="77777777" w:rsidR="009430F7" w:rsidRDefault="009430F7" w:rsidP="00943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0F7" w14:paraId="506F67EA" w14:textId="77777777" w:rsidTr="009430F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1F3902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Adeilad y Goron</w:t>
            </w:r>
          </w:p>
          <w:p w14:paraId="5EDAB846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Parc Cathays</w:t>
            </w:r>
          </w:p>
          <w:p w14:paraId="07DC3844" w14:textId="77777777" w:rsidR="009430F7" w:rsidRPr="003006F6" w:rsidRDefault="009430F7" w:rsidP="009430F7">
            <w:pPr>
              <w:pStyle w:val="contac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Caerdydd</w:t>
            </w:r>
          </w:p>
          <w:p w14:paraId="26672C39" w14:textId="77777777" w:rsidR="009430F7" w:rsidRDefault="009430F7" w:rsidP="009430F7">
            <w:pPr>
              <w:rPr>
                <w:rFonts w:ascii="Arial" w:hAnsi="Arial" w:cs="Arial"/>
                <w:sz w:val="24"/>
                <w:szCs w:val="24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CF10 3NQ</w:t>
            </w:r>
          </w:p>
        </w:tc>
        <w:bookmarkStart w:id="0" w:name="_Hlk102118233"/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6DA5BCA" w14:textId="48AC11A4" w:rsidR="009430F7" w:rsidRDefault="0035530B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HYPERLINK "mailto:</w:instrText>
            </w:r>
            <w:r w:rsidRPr="007B2F1D">
              <w:rPr>
                <w:rFonts w:ascii="Arial" w:hAnsi="Arial" w:cs="Arial"/>
                <w:b/>
                <w:sz w:val="24"/>
                <w:szCs w:val="24"/>
              </w:rPr>
              <w:instrText>PEDW.casework@gov.wales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10F9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PEDW.casework@gov.wales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5F183DED" w14:textId="4E315D6F" w:rsidR="0035530B" w:rsidRDefault="0035530B" w:rsidP="00943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00CA848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Crown</w:t>
            </w:r>
            <w:proofErr w:type="spellEnd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Buildings</w:t>
            </w:r>
            <w:proofErr w:type="spellEnd"/>
          </w:p>
          <w:p w14:paraId="40A09D4F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Cathays Park</w:t>
            </w:r>
          </w:p>
          <w:p w14:paraId="6CBFC0A7" w14:textId="77777777" w:rsidR="009430F7" w:rsidRPr="003006F6" w:rsidRDefault="009430F7" w:rsidP="009430F7">
            <w:pPr>
              <w:pStyle w:val="contact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Cardiff</w:t>
            </w:r>
          </w:p>
          <w:p w14:paraId="134EC886" w14:textId="77777777" w:rsidR="009430F7" w:rsidRPr="003006F6" w:rsidRDefault="009430F7" w:rsidP="009430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06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CF10 3NQ</w:t>
            </w:r>
          </w:p>
        </w:tc>
      </w:tr>
      <w:tr w:rsidR="009430F7" w14:paraId="56B7A44E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24E6D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21526CC4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5312C" w14:textId="77777777" w:rsidR="0035723A" w:rsidRDefault="0035723A" w:rsidP="009430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3CF424F" w14:textId="77777777" w:rsidR="00A95F36" w:rsidRPr="008D4DB4" w:rsidRDefault="00A95F36" w:rsidP="00A95F36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8D4DB4">
              <w:rPr>
                <w:rFonts w:ascii="Arial" w:hAnsi="Arial" w:cs="Arial"/>
                <w:b/>
                <w:sz w:val="28"/>
                <w:szCs w:val="22"/>
              </w:rPr>
              <w:t>The Wildlife and Countryside (Sites of Special</w:t>
            </w:r>
          </w:p>
          <w:p w14:paraId="5E273613" w14:textId="2CDC3FBD" w:rsidR="009430F7" w:rsidRPr="009430F7" w:rsidRDefault="00A95F36" w:rsidP="00A95F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DB4">
              <w:rPr>
                <w:rFonts w:ascii="Arial" w:hAnsi="Arial" w:cs="Arial"/>
                <w:b/>
                <w:sz w:val="28"/>
                <w:szCs w:val="22"/>
              </w:rPr>
              <w:t>Scientific Interest, Appeals) (Wales) Regulations 2002</w:t>
            </w:r>
          </w:p>
        </w:tc>
      </w:tr>
      <w:tr w:rsidR="009430F7" w14:paraId="53B2EB29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36A53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68C22FB0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46B39" w14:textId="77777777"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color w:val="808080"/>
                <w:sz w:val="56"/>
                <w:szCs w:val="56"/>
              </w:rPr>
              <w:t>NOTICE IS HEREBY GIVEN THAT</w:t>
            </w:r>
          </w:p>
        </w:tc>
      </w:tr>
      <w:tr w:rsidR="009430F7" w14:paraId="7CCA54C4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C65CD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:rsidRPr="009430F7" w14:paraId="4B1BD749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2E799" w14:textId="1FDCD7EB" w:rsidR="009430F7" w:rsidRPr="009430F7" w:rsidRDefault="009430F7" w:rsidP="00943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0F7">
              <w:rPr>
                <w:rFonts w:ascii="Arial" w:hAnsi="Arial" w:cs="Arial"/>
                <w:b/>
                <w:sz w:val="32"/>
                <w:szCs w:val="32"/>
              </w:rPr>
              <w:t>AN INSPECTOR APPOINTED BY</w:t>
            </w:r>
            <w:r w:rsidR="009D07A8">
              <w:rPr>
                <w:rFonts w:ascii="Arial" w:hAnsi="Arial" w:cs="Arial"/>
                <w:b/>
                <w:sz w:val="32"/>
                <w:szCs w:val="32"/>
              </w:rPr>
              <w:t xml:space="preserve"> THE WELSH MINISTERS</w:t>
            </w:r>
          </w:p>
        </w:tc>
      </w:tr>
      <w:tr w:rsidR="009430F7" w14:paraId="6B37C1BF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EEB5B" w14:textId="6CF6F531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07292D96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BC033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48C7432B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68ACA" w14:textId="3EF43B79" w:rsidR="009430F7" w:rsidRPr="0080042C" w:rsidRDefault="0080042C" w:rsidP="00312B8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515C2">
              <w:rPr>
                <w:rFonts w:ascii="Verdana" w:hAnsi="Verdana"/>
                <w:b/>
                <w:bCs/>
                <w:sz w:val="24"/>
                <w:szCs w:val="24"/>
              </w:rPr>
              <w:t xml:space="preserve">WILL HOLD A </w:t>
            </w:r>
            <w:r w:rsidRPr="008515C2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VIRTUAL </w:t>
            </w:r>
            <w:r w:rsidR="0035723A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HEARING</w:t>
            </w:r>
            <w:r w:rsidRPr="008515C2">
              <w:rPr>
                <w:rStyle w:val="FootnoteReference"/>
                <w:rFonts w:ascii="Verdana" w:hAnsi="Verdana"/>
                <w:b/>
                <w:bCs/>
                <w:szCs w:val="24"/>
              </w:rPr>
              <w:footnoteReference w:id="1"/>
            </w:r>
            <w:r w:rsidR="009D07A8" w:rsidRPr="009D07A8">
              <w:rPr>
                <w:rFonts w:ascii="Verdana" w:hAnsi="Verdana"/>
                <w:b/>
                <w:bCs/>
                <w:sz w:val="24"/>
                <w:szCs w:val="24"/>
              </w:rPr>
              <w:t xml:space="preserve"> ON</w:t>
            </w:r>
          </w:p>
        </w:tc>
      </w:tr>
      <w:tr w:rsidR="009430F7" w14:paraId="0F1B98CA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8B605" w14:textId="77777777" w:rsidR="009430F7" w:rsidRPr="007C747A" w:rsidRDefault="009430F7" w:rsidP="00312B88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:rsidRPr="00312B88" w14:paraId="7E345CD3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12EFD" w14:textId="44604840" w:rsidR="009430F7" w:rsidRPr="00312B88" w:rsidRDefault="009430F7" w:rsidP="00312B8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754E1" w14:paraId="29E20428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E899D" w14:textId="0818DAF6" w:rsidR="00F754E1" w:rsidRPr="007C747A" w:rsidRDefault="00F754E1" w:rsidP="00F754E1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754E1" w14:paraId="78B486F3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64E3E" w14:textId="611BAAB9" w:rsidR="00F754E1" w:rsidRPr="00F754E1" w:rsidRDefault="00AC7296" w:rsidP="00F754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 October 2024</w:t>
            </w:r>
            <w:r w:rsidR="00F754E1" w:rsidRPr="00F754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at 10:00.</w:t>
            </w:r>
          </w:p>
        </w:tc>
      </w:tr>
      <w:tr w:rsidR="009430F7" w14:paraId="5477C6AC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9FDBB" w14:textId="77777777" w:rsidR="009430F7" w:rsidRPr="00F754E1" w:rsidRDefault="009430F7" w:rsidP="009430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30F7" w14:paraId="1A0F5404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811C9" w14:textId="77777777" w:rsidR="009430F7" w:rsidRPr="007C747A" w:rsidRDefault="009430F7" w:rsidP="009430F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430F7" w14:paraId="5F425F20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6EB01" w14:textId="5A556450" w:rsidR="009430F7" w:rsidRPr="008521D4" w:rsidRDefault="00D511E9" w:rsidP="00F136A5">
            <w:pPr>
              <w:jc w:val="center"/>
              <w:rPr>
                <w:rFonts w:ascii="Verdana" w:hAnsi="Verdana"/>
                <w:caps/>
                <w:sz w:val="28"/>
                <w:lang w:val="en-US"/>
              </w:rPr>
            </w:pPr>
            <w:r>
              <w:rPr>
                <w:rFonts w:ascii="Verdana" w:hAnsi="Verdana"/>
                <w:caps/>
                <w:sz w:val="28"/>
                <w:lang w:val="en-US"/>
              </w:rPr>
              <w:t xml:space="preserve">INTO </w:t>
            </w:r>
            <w:r w:rsidR="00624B5C" w:rsidRPr="008521D4">
              <w:rPr>
                <w:rFonts w:ascii="Verdana" w:hAnsi="Verdana"/>
                <w:caps/>
                <w:sz w:val="28"/>
                <w:lang w:val="en-US"/>
              </w:rPr>
              <w:t>An appeal against the decision of N</w:t>
            </w:r>
            <w:r w:rsidR="008521D4" w:rsidRPr="008521D4">
              <w:rPr>
                <w:rFonts w:ascii="Verdana" w:hAnsi="Verdana"/>
                <w:caps/>
                <w:sz w:val="28"/>
                <w:lang w:val="en-US"/>
              </w:rPr>
              <w:t>atural resources wales</w:t>
            </w:r>
            <w:r w:rsidR="00624B5C" w:rsidRPr="008521D4">
              <w:rPr>
                <w:rFonts w:ascii="Verdana" w:hAnsi="Verdana"/>
                <w:caps/>
                <w:sz w:val="28"/>
                <w:lang w:val="en-US"/>
              </w:rPr>
              <w:t xml:space="preserve"> to </w:t>
            </w:r>
            <w:r w:rsidR="00EE7938">
              <w:rPr>
                <w:rFonts w:ascii="Verdana" w:hAnsi="Verdana"/>
                <w:caps/>
                <w:sz w:val="28"/>
                <w:lang w:val="en-US"/>
              </w:rPr>
              <w:t>REFUSE CONSENT</w:t>
            </w:r>
            <w:r w:rsidR="00E222DF">
              <w:rPr>
                <w:rFonts w:ascii="Verdana" w:hAnsi="Verdana"/>
                <w:caps/>
                <w:sz w:val="28"/>
                <w:lang w:val="en-US"/>
              </w:rPr>
              <w:t xml:space="preserve"> TO ALLOW GAMEBIRD RELEASE WITHIN CORS</w:t>
            </w:r>
            <w:r w:rsidR="00DF5D7E">
              <w:rPr>
                <w:rFonts w:ascii="Verdana" w:hAnsi="Verdana"/>
                <w:caps/>
                <w:sz w:val="28"/>
                <w:lang w:val="en-US"/>
              </w:rPr>
              <w:t xml:space="preserve"> CARANOD</w:t>
            </w:r>
            <w:r w:rsidR="00263C81">
              <w:rPr>
                <w:rFonts w:ascii="Verdana" w:hAnsi="Verdana"/>
                <w:caps/>
                <w:sz w:val="28"/>
                <w:lang w:val="en-US"/>
              </w:rPr>
              <w:t xml:space="preserve"> </w:t>
            </w:r>
            <w:r w:rsidR="00DF5D7E">
              <w:rPr>
                <w:rFonts w:ascii="Verdana" w:hAnsi="Verdana"/>
                <w:caps/>
                <w:sz w:val="28"/>
                <w:lang w:val="en-US"/>
              </w:rPr>
              <w:t>SITE OF SPECIAL SCIENTIFIC INTEREST (SSSI)</w:t>
            </w:r>
            <w:r w:rsidR="008521D4" w:rsidRPr="008521D4">
              <w:rPr>
                <w:rFonts w:ascii="Verdana" w:hAnsi="Verdana"/>
                <w:caps/>
                <w:sz w:val="28"/>
                <w:lang w:val="en-US"/>
              </w:rPr>
              <w:t>.</w:t>
            </w:r>
          </w:p>
        </w:tc>
      </w:tr>
      <w:tr w:rsidR="009430F7" w14:paraId="3EC046D0" w14:textId="77777777" w:rsidTr="009430F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83FB2" w14:textId="77777777" w:rsidR="009430F7" w:rsidRDefault="009430F7" w:rsidP="00943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7975E" w14:textId="651BB5EE" w:rsidR="009424B7" w:rsidRPr="009424B7" w:rsidRDefault="009424B7" w:rsidP="009424B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The purpose of the virtual </w:t>
      </w:r>
      <w:r w:rsidR="0050083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hearing </w:t>
      </w:r>
      <w:r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is to enable the Inspector to hear representation</w:t>
      </w:r>
      <w:r w:rsidR="00156D2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</w:t>
      </w:r>
      <w:r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from th</w:t>
      </w:r>
      <w:r w:rsidR="00156D2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 parties to the appeal</w:t>
      </w:r>
      <w:r w:rsidR="00EA7EB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on matters which cannot be dealt with in writing</w:t>
      </w:r>
      <w:r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  Any other interested persons may also attend and be allowed to speak at the discretion of the Inspector.</w:t>
      </w:r>
    </w:p>
    <w:p w14:paraId="3936E7D6" w14:textId="77777777" w:rsidR="009424B7" w:rsidRPr="009424B7" w:rsidRDefault="009424B7" w:rsidP="009424B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81CEB72" w14:textId="1D25B5DF" w:rsidR="009D07A8" w:rsidRDefault="009424B7" w:rsidP="0056746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9424B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Any person wishing to view the statements of case and other documents relating to the</w:t>
      </w:r>
      <w:r w:rsidR="00EA7EB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appeal </w:t>
      </w:r>
      <w:r w:rsidR="005674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can access them </w:t>
      </w:r>
      <w:r w:rsidR="00F41E9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by visiting </w:t>
      </w:r>
      <w:r w:rsidR="005674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PEDW’s online portal</w:t>
      </w:r>
      <w:r w:rsidR="001A44A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hyperlink r:id="rId12" w:history="1">
        <w:r w:rsidR="00B83D39" w:rsidRPr="002C2C4B">
          <w:rPr>
            <w:rStyle w:val="Hyperlink"/>
            <w:rFonts w:ascii="Arial" w:eastAsiaTheme="minorHAnsi" w:hAnsi="Arial" w:cs="Arial"/>
            <w:sz w:val="24"/>
            <w:szCs w:val="24"/>
            <w:lang w:eastAsia="en-US"/>
          </w:rPr>
          <w:t>https://planningcasework.service.gov.wales/</w:t>
        </w:r>
      </w:hyperlink>
      <w:r w:rsidR="00B83D3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F41E9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and</w:t>
      </w:r>
      <w:r w:rsidR="00B83D3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searching </w:t>
      </w:r>
      <w:r w:rsidR="00F754E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using </w:t>
      </w:r>
      <w:r w:rsidR="00B83D3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the appeal reference number: </w:t>
      </w:r>
      <w:r w:rsidR="00290536" w:rsidRPr="0029053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CAS-02994-F7F6V0</w:t>
      </w:r>
      <w:r w:rsidR="00D511E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="00D511E9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</w:p>
    <w:p w14:paraId="5DAB3B22" w14:textId="1E33C920" w:rsidR="007C747A" w:rsidRPr="00BE7E17" w:rsidRDefault="00D511E9" w:rsidP="00D511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993366"/>
          <w:sz w:val="28"/>
          <w:szCs w:val="28"/>
        </w:rPr>
      </w:pPr>
      <w:r>
        <w:rPr>
          <w:rFonts w:ascii="Arial" w:hAnsi="Arial" w:cs="Arial"/>
          <w:b/>
          <w:bCs/>
          <w:color w:val="993366"/>
          <w:sz w:val="28"/>
          <w:szCs w:val="28"/>
        </w:rPr>
        <w:t xml:space="preserve">Isabel </w:t>
      </w:r>
      <w:proofErr w:type="spellStart"/>
      <w:r>
        <w:rPr>
          <w:rFonts w:ascii="Arial" w:hAnsi="Arial" w:cs="Arial"/>
          <w:b/>
          <w:bCs/>
          <w:color w:val="993366"/>
          <w:sz w:val="28"/>
          <w:szCs w:val="28"/>
        </w:rPr>
        <w:t>Ne</w:t>
      </w:r>
      <w:r w:rsidR="007C747A" w:rsidRPr="00BE7E17">
        <w:rPr>
          <w:rFonts w:ascii="Arial" w:hAnsi="Arial" w:cs="Arial"/>
          <w:b/>
          <w:bCs/>
          <w:color w:val="993366"/>
          <w:sz w:val="28"/>
          <w:szCs w:val="28"/>
        </w:rPr>
        <w:t>thell</w:t>
      </w:r>
      <w:proofErr w:type="spellEnd"/>
    </w:p>
    <w:p w14:paraId="0D0866D0" w14:textId="77777777" w:rsidR="009430F7" w:rsidRPr="00BE7E17" w:rsidRDefault="007C747A" w:rsidP="007C74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7E17">
        <w:rPr>
          <w:rFonts w:ascii="Arial" w:hAnsi="Arial" w:cs="Arial"/>
          <w:b/>
          <w:bCs/>
          <w:sz w:val="28"/>
          <w:szCs w:val="28"/>
        </w:rPr>
        <w:t>Authorised by the Welsh Ministers</w:t>
      </w:r>
    </w:p>
    <w:sectPr w:rsidR="009430F7" w:rsidRPr="00BE7E17" w:rsidSect="003006F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16E4" w14:textId="77777777" w:rsidR="00355BE6" w:rsidRDefault="00355BE6" w:rsidP="009430F7">
      <w:r>
        <w:separator/>
      </w:r>
    </w:p>
  </w:endnote>
  <w:endnote w:type="continuationSeparator" w:id="0">
    <w:p w14:paraId="5AD7532A" w14:textId="77777777" w:rsidR="00355BE6" w:rsidRDefault="00355BE6" w:rsidP="0094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61C" w14:textId="77777777" w:rsidR="009430F7" w:rsidRPr="009430F7" w:rsidRDefault="009430F7" w:rsidP="009430F7">
    <w:pPr>
      <w:pStyle w:val="Footer"/>
      <w:jc w:val="center"/>
      <w:rPr>
        <w:rFonts w:ascii="Arial" w:hAnsi="Arial" w:cs="Arial"/>
        <w:color w:val="1F4E79" w:themeColor="accent1" w:themeShade="80"/>
        <w:sz w:val="24"/>
        <w:szCs w:val="24"/>
      </w:rPr>
    </w:pPr>
    <w:r w:rsidRPr="009430F7">
      <w:rPr>
        <w:rFonts w:ascii="Arial" w:hAnsi="Arial" w:cs="Arial"/>
        <w:smallCaps/>
        <w:sz w:val="24"/>
        <w:szCs w:val="24"/>
      </w:rPr>
      <w:t>We Welcome Communications in Welsh and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A6AD" w14:textId="77777777" w:rsidR="00355BE6" w:rsidRDefault="00355BE6" w:rsidP="009430F7">
      <w:r>
        <w:separator/>
      </w:r>
    </w:p>
  </w:footnote>
  <w:footnote w:type="continuationSeparator" w:id="0">
    <w:p w14:paraId="3D5D1327" w14:textId="77777777" w:rsidR="00355BE6" w:rsidRDefault="00355BE6" w:rsidP="009430F7">
      <w:r>
        <w:continuationSeparator/>
      </w:r>
    </w:p>
  </w:footnote>
  <w:footnote w:id="1">
    <w:p w14:paraId="02152584" w14:textId="4486F863" w:rsidR="0080042C" w:rsidRPr="00CA51EE" w:rsidRDefault="0080042C" w:rsidP="0080042C">
      <w:pPr>
        <w:spacing w:before="100" w:beforeAutospacing="1" w:after="100" w:afterAutospacing="1"/>
        <w:ind w:left="284" w:hanging="284"/>
        <w:rPr>
          <w:rFonts w:ascii="Arial" w:hAnsi="Arial" w:cs="Arial"/>
          <w:sz w:val="22"/>
          <w:szCs w:val="22"/>
        </w:rPr>
      </w:pPr>
      <w:r w:rsidRPr="00CA51EE">
        <w:rPr>
          <w:rStyle w:val="FootnoteReference"/>
          <w:rFonts w:ascii="Arial" w:hAnsi="Arial" w:cs="Arial"/>
          <w:sz w:val="22"/>
          <w:szCs w:val="22"/>
        </w:rPr>
        <w:footnoteRef/>
      </w:r>
      <w:r w:rsidRPr="00CA51EE">
        <w:rPr>
          <w:rFonts w:ascii="Arial" w:hAnsi="Arial" w:cs="Arial"/>
          <w:sz w:val="22"/>
          <w:szCs w:val="22"/>
        </w:rPr>
        <w:t xml:space="preserve"> </w:t>
      </w:r>
      <w:r w:rsidRPr="00CA51EE">
        <w:rPr>
          <w:rFonts w:ascii="Arial" w:hAnsi="Arial" w:cs="Arial"/>
          <w:sz w:val="22"/>
          <w:szCs w:val="22"/>
        </w:rPr>
        <w:tab/>
      </w:r>
      <w:r w:rsidRPr="00CA51EE">
        <w:rPr>
          <w:rFonts w:ascii="Arial" w:eastAsia="Calibri" w:hAnsi="Arial" w:cs="Arial"/>
          <w:color w:val="000000"/>
          <w:sz w:val="22"/>
          <w:szCs w:val="22"/>
        </w:rPr>
        <w:t xml:space="preserve">To take part in the virtual </w:t>
      </w:r>
      <w:r w:rsidR="0035723A">
        <w:rPr>
          <w:rFonts w:ascii="Arial" w:eastAsia="Calibri" w:hAnsi="Arial" w:cs="Arial"/>
          <w:color w:val="000000"/>
          <w:sz w:val="22"/>
          <w:szCs w:val="22"/>
        </w:rPr>
        <w:t>hearing</w:t>
      </w:r>
      <w:r w:rsidRPr="00CA51EE">
        <w:rPr>
          <w:rFonts w:ascii="Arial" w:eastAsia="Calibri" w:hAnsi="Arial" w:cs="Arial"/>
          <w:color w:val="000000"/>
          <w:sz w:val="22"/>
          <w:szCs w:val="22"/>
        </w:rPr>
        <w:t xml:space="preserve">, participants will need to have access to Microsoft Teams (via an app or web browser). The following link gives further information on how to use this. </w:t>
      </w:r>
      <w:hyperlink r:id="rId1" w:history="1">
        <w:r w:rsidRPr="00CA51EE">
          <w:rPr>
            <w:rStyle w:val="Hyperlink"/>
            <w:rFonts w:ascii="Arial" w:eastAsia="Calibri" w:hAnsi="Arial" w:cs="Arial"/>
            <w:color w:val="0563C1"/>
            <w:sz w:val="22"/>
            <w:szCs w:val="22"/>
          </w:rPr>
          <w:t>https://support.office.com/en-us/teams</w:t>
        </w:r>
      </w:hyperlink>
      <w:r w:rsidRPr="00CA51EE">
        <w:rPr>
          <w:rFonts w:ascii="Arial" w:eastAsia="Calibri" w:hAnsi="Arial" w:cs="Arial"/>
          <w:color w:val="0000FF"/>
          <w:sz w:val="22"/>
          <w:szCs w:val="22"/>
        </w:rPr>
        <w:t xml:space="preserve">.  </w:t>
      </w:r>
    </w:p>
    <w:p w14:paraId="1F59A931" w14:textId="0708BEAE" w:rsidR="0080042C" w:rsidRPr="00CA51EE" w:rsidRDefault="0080042C" w:rsidP="0080042C">
      <w:pPr>
        <w:spacing w:before="100" w:beforeAutospacing="1" w:after="100" w:afterAutospacing="1"/>
        <w:ind w:left="284"/>
        <w:rPr>
          <w:rFonts w:ascii="Arial" w:hAnsi="Arial" w:cs="Arial"/>
          <w:sz w:val="22"/>
          <w:szCs w:val="22"/>
        </w:rPr>
      </w:pPr>
      <w:r w:rsidRPr="00CA51EE">
        <w:rPr>
          <w:rFonts w:ascii="Arial" w:hAnsi="Arial" w:cs="Arial"/>
          <w:sz w:val="22"/>
          <w:szCs w:val="22"/>
        </w:rPr>
        <w:t xml:space="preserve">If you wish to observe or take an active part in the </w:t>
      </w:r>
      <w:r w:rsidR="0035723A">
        <w:rPr>
          <w:rFonts w:ascii="Arial" w:hAnsi="Arial" w:cs="Arial"/>
          <w:sz w:val="22"/>
          <w:szCs w:val="22"/>
        </w:rPr>
        <w:t>hearing</w:t>
      </w:r>
      <w:r w:rsidRPr="00CA51EE">
        <w:rPr>
          <w:rFonts w:ascii="Arial" w:hAnsi="Arial" w:cs="Arial"/>
          <w:sz w:val="22"/>
          <w:szCs w:val="22"/>
        </w:rPr>
        <w:t>,</w:t>
      </w:r>
      <w:r w:rsidRPr="0035723A">
        <w:rPr>
          <w:rFonts w:ascii="Arial" w:hAnsi="Arial" w:cs="Arial"/>
          <w:sz w:val="22"/>
          <w:szCs w:val="22"/>
        </w:rPr>
        <w:t xml:space="preserve"> please register your interest to </w:t>
      </w:r>
      <w:hyperlink r:id="rId2" w:history="1">
        <w:r w:rsidR="001E17D0" w:rsidRPr="00CA51EE">
          <w:rPr>
            <w:rStyle w:val="Hyperlink"/>
            <w:rFonts w:ascii="Arial" w:hAnsi="Arial" w:cs="Arial"/>
            <w:sz w:val="22"/>
            <w:szCs w:val="22"/>
          </w:rPr>
          <w:t>PEDW.casework@gov.wales</w:t>
        </w:r>
      </w:hyperlink>
      <w:r w:rsidR="001E17D0" w:rsidRPr="00CA51EE">
        <w:rPr>
          <w:rFonts w:ascii="Arial" w:hAnsi="Arial" w:cs="Arial"/>
          <w:sz w:val="22"/>
          <w:szCs w:val="22"/>
        </w:rPr>
        <w:t xml:space="preserve"> </w:t>
      </w:r>
      <w:r w:rsidRPr="00CA51EE">
        <w:rPr>
          <w:rFonts w:ascii="Arial" w:hAnsi="Arial" w:cs="Arial"/>
          <w:sz w:val="22"/>
          <w:szCs w:val="22"/>
        </w:rPr>
        <w:t xml:space="preserve">no later than 2 weeks before the </w:t>
      </w:r>
      <w:r w:rsidR="00F60DC1">
        <w:rPr>
          <w:rFonts w:ascii="Arial" w:hAnsi="Arial" w:cs="Arial"/>
          <w:sz w:val="22"/>
          <w:szCs w:val="22"/>
        </w:rPr>
        <w:t>Hearing</w:t>
      </w:r>
      <w:r w:rsidRPr="00CA51EE">
        <w:rPr>
          <w:rFonts w:ascii="Arial" w:hAnsi="Arial" w:cs="Arial"/>
          <w:sz w:val="22"/>
          <w:szCs w:val="22"/>
        </w:rPr>
        <w:t>. If actively participating, please state your preference of Welsh or English.  Instructions on how to join the event will be sent under separate cover.</w:t>
      </w:r>
    </w:p>
    <w:p w14:paraId="4DBC8EEB" w14:textId="77777777" w:rsidR="0080042C" w:rsidRDefault="0080042C" w:rsidP="0080042C">
      <w:pPr>
        <w:spacing w:before="100" w:beforeAutospacing="1" w:after="100" w:afterAutospacing="1"/>
        <w:rPr>
          <w:sz w:val="22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5029"/>
    <w:multiLevelType w:val="hybridMultilevel"/>
    <w:tmpl w:val="1430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6"/>
    <w:rsid w:val="00064D2A"/>
    <w:rsid w:val="000F57C1"/>
    <w:rsid w:val="00156D29"/>
    <w:rsid w:val="001A44A4"/>
    <w:rsid w:val="001E17D0"/>
    <w:rsid w:val="0025678E"/>
    <w:rsid w:val="00263C81"/>
    <w:rsid w:val="00290536"/>
    <w:rsid w:val="002C6E5F"/>
    <w:rsid w:val="003006F6"/>
    <w:rsid w:val="00312B88"/>
    <w:rsid w:val="0035530B"/>
    <w:rsid w:val="00355BE6"/>
    <w:rsid w:val="0035723A"/>
    <w:rsid w:val="00373E8F"/>
    <w:rsid w:val="0038667C"/>
    <w:rsid w:val="00404DAC"/>
    <w:rsid w:val="00421B30"/>
    <w:rsid w:val="004D00B6"/>
    <w:rsid w:val="00500834"/>
    <w:rsid w:val="00567462"/>
    <w:rsid w:val="00624B5C"/>
    <w:rsid w:val="007223DB"/>
    <w:rsid w:val="00784672"/>
    <w:rsid w:val="007C747A"/>
    <w:rsid w:val="0080042C"/>
    <w:rsid w:val="0081423D"/>
    <w:rsid w:val="008521D4"/>
    <w:rsid w:val="008D4DB4"/>
    <w:rsid w:val="009424B7"/>
    <w:rsid w:val="009430F7"/>
    <w:rsid w:val="00953FB4"/>
    <w:rsid w:val="009719A8"/>
    <w:rsid w:val="009C56C7"/>
    <w:rsid w:val="009D07A8"/>
    <w:rsid w:val="009D5E57"/>
    <w:rsid w:val="00A60AAE"/>
    <w:rsid w:val="00A74571"/>
    <w:rsid w:val="00A95F36"/>
    <w:rsid w:val="00AC7296"/>
    <w:rsid w:val="00AC73B6"/>
    <w:rsid w:val="00AE62E7"/>
    <w:rsid w:val="00B83D39"/>
    <w:rsid w:val="00BE6125"/>
    <w:rsid w:val="00BE7E17"/>
    <w:rsid w:val="00C21FFC"/>
    <w:rsid w:val="00CA51EE"/>
    <w:rsid w:val="00D037F7"/>
    <w:rsid w:val="00D06BB7"/>
    <w:rsid w:val="00D511E9"/>
    <w:rsid w:val="00D92C91"/>
    <w:rsid w:val="00D93CB0"/>
    <w:rsid w:val="00DF5D7E"/>
    <w:rsid w:val="00E222DF"/>
    <w:rsid w:val="00E23DEC"/>
    <w:rsid w:val="00E331FF"/>
    <w:rsid w:val="00E95F0D"/>
    <w:rsid w:val="00EA7EBE"/>
    <w:rsid w:val="00EE7938"/>
    <w:rsid w:val="00EF49C6"/>
    <w:rsid w:val="00F136A5"/>
    <w:rsid w:val="00F17870"/>
    <w:rsid w:val="00F41E91"/>
    <w:rsid w:val="00F602E9"/>
    <w:rsid w:val="00F60DC1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FB61"/>
  <w15:chartTrackingRefBased/>
  <w15:docId w15:val="{461C3220-44D5-4C4C-800A-7399127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006F6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06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">
    <w:name w:val="contact"/>
    <w:basedOn w:val="Normal"/>
    <w:rsid w:val="003006F6"/>
    <w:rPr>
      <w:rFonts w:ascii="Verdana" w:hAnsi="Verdana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3006F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lid-translation">
    <w:name w:val="tlid-translation"/>
    <w:rsid w:val="003006F6"/>
  </w:style>
  <w:style w:type="character" w:customStyle="1" w:styleId="Heading4Char">
    <w:name w:val="Heading 4 Char"/>
    <w:basedOn w:val="DefaultParagraphFont"/>
    <w:link w:val="Heading4"/>
    <w:uiPriority w:val="9"/>
    <w:rsid w:val="003006F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430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0F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3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0F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0042C"/>
    <w:rPr>
      <w:color w:val="0000FF"/>
      <w:u w:val="single"/>
    </w:rPr>
  </w:style>
  <w:style w:type="character" w:styleId="FootnoteReference">
    <w:name w:val="footnote reference"/>
    <w:rsid w:val="008004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1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ningcasework.service.gov.wal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EDW.casework@gov.wales" TargetMode="External"/><Relationship Id="rId1" Type="http://schemas.openxmlformats.org/officeDocument/2006/relationships/hyperlink" Target="https://support.office.com/en-us/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A55038488</value>
    </field>
    <field name="Objective-Title">
      <value order="0">Hearing Notice E</value>
    </field>
    <field name="Objective-Description">
      <value order="0"/>
    </field>
    <field name="Objective-CreationStamp">
      <value order="0">2024-09-19T06:55:23Z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2024-09-19T07:00:41Z</value>
    </field>
    <field name="Objective-ModificationStamp">
      <value order="0">2024-09-19T07:00:41Z</value>
    </field>
    <field name="Objective-Owner">
      <value order="0">Nicholas, Julian (CSI - Planning &amp; Environment Decisions Wales - Planning &amp; Environment Decisions Wales)</value>
    </field>
    <field name="Objective-Path">
      <value order="0">Objective Global Folder:Corporate File Plan:COMMUNICATION, PUBLICATIONS &amp; PROMOTIONS:WORKING WITH STAKEHOLDERS:Customer Relationship Management Systems:Planning Environmental Decisions Wales:Cases:CAS-02994-F7F6V0:Hearing - Virtual - Documents</value>
    </field>
    <field name="Objective-Parent">
      <value order="0">Hearing - Virtual - Documents</value>
    </field>
    <field name="Objective-State">
      <value order="0">Published</value>
    </field>
    <field name="Objective-VersionId">
      <value order="0">vA100154796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qA1909523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154381D911D44B17F5153A10CF953" ma:contentTypeVersion="13" ma:contentTypeDescription="Create a new document." ma:contentTypeScope="" ma:versionID="794f04c3ccb92253b2ca1ec3166d136d">
  <xsd:schema xmlns:xsd="http://www.w3.org/2001/XMLSchema" xmlns:xs="http://www.w3.org/2001/XMLSchema" xmlns:p="http://schemas.microsoft.com/office/2006/metadata/properties" xmlns:ns3="5d2aa9bf-7c64-4d51-9867-2e772319a9bf" xmlns:ns4="37fc11ba-b0ca-4712-97b6-2c19a2e03327" targetNamespace="http://schemas.microsoft.com/office/2006/metadata/properties" ma:root="true" ma:fieldsID="d47d56ea1604fbda74b2650181d7e66e" ns3:_="" ns4:_="">
    <xsd:import namespace="5d2aa9bf-7c64-4d51-9867-2e772319a9bf"/>
    <xsd:import namespace="37fc11ba-b0ca-4712-97b6-2c19a2e03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a9bf-7c64-4d51-9867-2e772319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c11ba-b0ca-4712-97b6-2c19a2e03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DEE7149-48B9-4DF3-B1B6-398DF8713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a9bf-7c64-4d51-9867-2e772319a9bf"/>
    <ds:schemaRef ds:uri="37fc11ba-b0ca-4712-97b6-2c19a2e0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E099E-C969-4D93-A495-E7FBB38B3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826A9-1EC7-4E46-9D1D-671E167E0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Nigel (ESNR - PEDW)</dc:creator>
  <cp:keywords/>
  <dc:description/>
  <cp:lastModifiedBy>Evans, Samantha</cp:lastModifiedBy>
  <cp:revision>2</cp:revision>
  <dcterms:created xsi:type="dcterms:W3CDTF">2024-09-26T14:32:00Z</dcterms:created>
  <dcterms:modified xsi:type="dcterms:W3CDTF">2024-09-26T14:32:00Z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0x01010034C154381D911D44B17F5153A10CF953</vt:lpwstr>
  </property>
  <property fmtid="{D5CDD505-2E9C-101B-9397-08002B2CF9AE}" pid="3" name="Objective-Id">
    <vt:lpwstr>A55038488</vt:lpwstr>
  </property>
  <property fmtid="{D5CDD505-2E9C-101B-9397-08002B2CF9AE}" pid="4" name="Objective-Title">
    <vt:lpwstr>Hearing Notice E</vt:lpwstr>
  </property>
  <property fmtid="{D5CDD505-2E9C-101B-9397-08002B2CF9AE}" pid="5" name="Objective-Description">
    <vt:lpwstr/>
  </property>
  <property fmtid="{D5CDD505-2E9C-101B-9397-08002B2CF9AE}" pid="6" name="Objective-CreationStamp">
    <vt:filetime>2024-09-19T06:55:23Z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2024-09-19T07:00:41Z</vt:filetime>
  </property>
  <property fmtid="{D5CDD505-2E9C-101B-9397-08002B2CF9AE}" pid="10" name="Objective-ModificationStamp">
    <vt:filetime>2024-09-19T07:00:41Z</vt:filetime>
  </property>
  <property fmtid="{D5CDD505-2E9C-101B-9397-08002B2CF9AE}" pid="11" name="Objective-Owner">
    <vt:lpwstr>Nicholas, Julian (CSI - Planning &amp; Environment Decisions Wales - Planning &amp; Environment Decisions Wales)</vt:lpwstr>
  </property>
  <property fmtid="{D5CDD505-2E9C-101B-9397-08002B2CF9AE}" pid="12" name="Objective-Path">
    <vt:lpwstr>Objective Global Folder:Corporate File Plan:COMMUNICATION, PUBLICATIONS &amp; PROMOTIONS:WORKING WITH STAKEHOLDERS:Customer Relationship Management Systems:Planning Environmental Decisions Wales:Cases:CAS-02994-F7F6V0:Hearing - Virtual - Documents</vt:lpwstr>
  </property>
  <property fmtid="{D5CDD505-2E9C-101B-9397-08002B2CF9AE}" pid="13" name="Objective-Parent">
    <vt:lpwstr>Hearing - Virtual -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vA100154796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qA1909523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