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A5" w:rsidRDefault="00D407A5" w:rsidP="00D407A5">
      <w:pPr>
        <w:pStyle w:val="BodyText"/>
        <w:jc w:val="center"/>
        <w:rPr>
          <w:color w:val="0091A5"/>
          <w:sz w:val="28"/>
          <w:szCs w:val="28"/>
        </w:rPr>
      </w:pPr>
      <w:r w:rsidRPr="00B67DC6">
        <w:rPr>
          <w:color w:val="0091A5"/>
          <w:sz w:val="28"/>
          <w:szCs w:val="28"/>
        </w:rPr>
        <w:t>2</w:t>
      </w:r>
      <w:r w:rsidR="00D65CD4">
        <w:rPr>
          <w:color w:val="0091A5"/>
          <w:sz w:val="28"/>
          <w:szCs w:val="28"/>
        </w:rPr>
        <w:t>0</w:t>
      </w:r>
      <w:r>
        <w:rPr>
          <w:color w:val="0091A5"/>
          <w:sz w:val="28"/>
          <w:szCs w:val="28"/>
        </w:rPr>
        <w:t xml:space="preserve"> September 2017</w:t>
      </w:r>
    </w:p>
    <w:p w:rsidR="00D407A5" w:rsidRPr="000105A2" w:rsidRDefault="00D407A5" w:rsidP="00D407A5">
      <w:pPr>
        <w:pStyle w:val="BodyText"/>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D407A5" w:rsidRPr="006C19FD" w:rsidTr="005E3F96">
        <w:tc>
          <w:tcPr>
            <w:tcW w:w="3586" w:type="dxa"/>
            <w:shd w:val="clear" w:color="auto" w:fill="auto"/>
          </w:tcPr>
          <w:p w:rsidR="00D407A5" w:rsidRPr="006C19FD" w:rsidRDefault="00D407A5" w:rsidP="005E3F96">
            <w:pPr>
              <w:rPr>
                <w:rFonts w:cs="Arial"/>
                <w:b/>
              </w:rPr>
            </w:pPr>
            <w:r w:rsidRPr="006C19FD">
              <w:rPr>
                <w:rFonts w:cs="Arial"/>
                <w:b/>
              </w:rPr>
              <w:t xml:space="preserve">Paper Title </w:t>
            </w:r>
          </w:p>
        </w:tc>
        <w:tc>
          <w:tcPr>
            <w:tcW w:w="6621" w:type="dxa"/>
            <w:shd w:val="clear" w:color="auto" w:fill="auto"/>
          </w:tcPr>
          <w:p w:rsidR="00D407A5" w:rsidRDefault="00D407A5" w:rsidP="005E3F96">
            <w:pPr>
              <w:rPr>
                <w:rFonts w:cs="Arial"/>
                <w:b/>
              </w:rPr>
            </w:pPr>
            <w:r>
              <w:rPr>
                <w:rFonts w:cs="Arial"/>
                <w:b/>
              </w:rPr>
              <w:t xml:space="preserve">Performance Report 2017/18 </w:t>
            </w:r>
          </w:p>
          <w:p w:rsidR="00D407A5" w:rsidRPr="006C19FD" w:rsidRDefault="00D407A5" w:rsidP="005E3F96">
            <w:pPr>
              <w:rPr>
                <w:rFonts w:cs="Arial"/>
                <w:b/>
              </w:rPr>
            </w:pPr>
            <w:r>
              <w:rPr>
                <w:rFonts w:cs="Arial"/>
                <w:b/>
              </w:rPr>
              <w:t>Period one report (1 April 2017 to 31 July 2017)</w:t>
            </w:r>
          </w:p>
        </w:tc>
      </w:tr>
      <w:tr w:rsidR="00D407A5" w:rsidRPr="006C19FD" w:rsidTr="005E3F96">
        <w:tc>
          <w:tcPr>
            <w:tcW w:w="3586" w:type="dxa"/>
            <w:shd w:val="clear" w:color="auto" w:fill="auto"/>
          </w:tcPr>
          <w:p w:rsidR="00D407A5" w:rsidRPr="006C19FD" w:rsidRDefault="00D407A5" w:rsidP="005E3F96">
            <w:pPr>
              <w:rPr>
                <w:rFonts w:cs="Arial"/>
                <w:b/>
              </w:rPr>
            </w:pPr>
            <w:r w:rsidRPr="006C19FD">
              <w:rPr>
                <w:rFonts w:cs="Arial"/>
                <w:b/>
              </w:rPr>
              <w:t>Paper Reference:</w:t>
            </w:r>
          </w:p>
        </w:tc>
        <w:tc>
          <w:tcPr>
            <w:tcW w:w="6621" w:type="dxa"/>
            <w:shd w:val="clear" w:color="auto" w:fill="auto"/>
          </w:tcPr>
          <w:p w:rsidR="00D407A5" w:rsidRPr="006C19FD" w:rsidRDefault="00604297" w:rsidP="005E3F96">
            <w:pPr>
              <w:rPr>
                <w:rFonts w:cs="Arial"/>
                <w:b/>
              </w:rPr>
            </w:pPr>
            <w:r>
              <w:rPr>
                <w:rFonts w:cs="Arial"/>
                <w:b/>
              </w:rPr>
              <w:t xml:space="preserve">Paper NRW B </w:t>
            </w:r>
            <w:proofErr w:type="spellStart"/>
            <w:r>
              <w:rPr>
                <w:rFonts w:cs="Arial"/>
                <w:b/>
              </w:rPr>
              <w:t>B</w:t>
            </w:r>
            <w:proofErr w:type="spellEnd"/>
            <w:r>
              <w:rPr>
                <w:rFonts w:cs="Arial"/>
                <w:b/>
              </w:rPr>
              <w:t xml:space="preserve"> 40.17</w:t>
            </w:r>
            <w:bookmarkStart w:id="0" w:name="_GoBack"/>
            <w:bookmarkEnd w:id="0"/>
          </w:p>
        </w:tc>
      </w:tr>
      <w:tr w:rsidR="00D407A5" w:rsidRPr="006C19FD" w:rsidTr="005E3F96">
        <w:tc>
          <w:tcPr>
            <w:tcW w:w="3586" w:type="dxa"/>
            <w:shd w:val="clear" w:color="auto" w:fill="auto"/>
          </w:tcPr>
          <w:p w:rsidR="00D407A5" w:rsidRPr="006C19FD" w:rsidRDefault="00D407A5" w:rsidP="005E3F96">
            <w:pPr>
              <w:rPr>
                <w:rFonts w:cs="Arial"/>
                <w:b/>
              </w:rPr>
            </w:pPr>
            <w:r>
              <w:rPr>
                <w:rFonts w:cs="Arial"/>
                <w:b/>
              </w:rPr>
              <w:t>Paper Prepared B</w:t>
            </w:r>
            <w:r w:rsidRPr="006C19FD">
              <w:rPr>
                <w:rFonts w:cs="Arial"/>
                <w:b/>
              </w:rPr>
              <w:t>y:</w:t>
            </w:r>
          </w:p>
        </w:tc>
        <w:tc>
          <w:tcPr>
            <w:tcW w:w="6621" w:type="dxa"/>
            <w:shd w:val="clear" w:color="auto" w:fill="auto"/>
          </w:tcPr>
          <w:p w:rsidR="00D407A5" w:rsidRPr="006B460C" w:rsidRDefault="00D407A5" w:rsidP="005E3F96">
            <w:pPr>
              <w:rPr>
                <w:rFonts w:cs="Arial"/>
                <w:b/>
              </w:rPr>
            </w:pPr>
            <w:r>
              <w:rPr>
                <w:rFonts w:cs="Arial"/>
                <w:b/>
              </w:rPr>
              <w:t>Mark Hughes</w:t>
            </w:r>
          </w:p>
        </w:tc>
      </w:tr>
      <w:tr w:rsidR="00D407A5" w:rsidRPr="006C19FD" w:rsidTr="005E3F96">
        <w:tc>
          <w:tcPr>
            <w:tcW w:w="3586" w:type="dxa"/>
            <w:shd w:val="clear" w:color="auto" w:fill="auto"/>
          </w:tcPr>
          <w:p w:rsidR="00D407A5" w:rsidRDefault="00D407A5" w:rsidP="005E3F96">
            <w:pPr>
              <w:rPr>
                <w:rFonts w:cs="Arial"/>
                <w:b/>
              </w:rPr>
            </w:pPr>
            <w:r>
              <w:rPr>
                <w:rFonts w:cs="Arial"/>
                <w:b/>
              </w:rPr>
              <w:t>Paper Presented By</w:t>
            </w:r>
          </w:p>
        </w:tc>
        <w:tc>
          <w:tcPr>
            <w:tcW w:w="6621" w:type="dxa"/>
            <w:shd w:val="clear" w:color="auto" w:fill="auto"/>
          </w:tcPr>
          <w:p w:rsidR="00D407A5" w:rsidRDefault="00D407A5" w:rsidP="005E3F96">
            <w:pPr>
              <w:rPr>
                <w:rFonts w:cs="Arial"/>
                <w:b/>
              </w:rPr>
            </w:pPr>
            <w:r>
              <w:rPr>
                <w:rFonts w:cs="Arial"/>
                <w:b/>
              </w:rPr>
              <w:t xml:space="preserve">Emyr Roberts </w:t>
            </w:r>
          </w:p>
        </w:tc>
      </w:tr>
    </w:tbl>
    <w:p w:rsidR="00D407A5" w:rsidRDefault="00D407A5" w:rsidP="00D407A5">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D407A5" w:rsidRPr="006C19FD" w:rsidTr="005E3F96">
        <w:tc>
          <w:tcPr>
            <w:tcW w:w="3586" w:type="dxa"/>
            <w:shd w:val="clear" w:color="auto" w:fill="auto"/>
          </w:tcPr>
          <w:p w:rsidR="00D407A5" w:rsidRPr="006C19FD" w:rsidRDefault="00D407A5" w:rsidP="005E3F96">
            <w:pPr>
              <w:rPr>
                <w:rFonts w:cs="Arial"/>
                <w:b/>
              </w:rPr>
            </w:pPr>
            <w:r w:rsidRPr="006C19FD">
              <w:rPr>
                <w:rFonts w:cs="Arial"/>
                <w:b/>
              </w:rPr>
              <w:t>Purpose of Paper:</w:t>
            </w:r>
          </w:p>
        </w:tc>
        <w:tc>
          <w:tcPr>
            <w:tcW w:w="6621" w:type="dxa"/>
            <w:shd w:val="clear" w:color="auto" w:fill="auto"/>
          </w:tcPr>
          <w:p w:rsidR="00D407A5" w:rsidRPr="006C19FD" w:rsidRDefault="00D407A5" w:rsidP="005E3F96">
            <w:pPr>
              <w:rPr>
                <w:rFonts w:cs="Arial"/>
                <w:b/>
              </w:rPr>
            </w:pPr>
            <w:r>
              <w:rPr>
                <w:rFonts w:cs="Arial"/>
                <w:b/>
              </w:rPr>
              <w:t>For scrutiny</w:t>
            </w:r>
          </w:p>
        </w:tc>
      </w:tr>
      <w:tr w:rsidR="00D407A5" w:rsidRPr="006C19FD" w:rsidTr="005E3F96">
        <w:tc>
          <w:tcPr>
            <w:tcW w:w="3586" w:type="dxa"/>
            <w:shd w:val="clear" w:color="auto" w:fill="auto"/>
          </w:tcPr>
          <w:p w:rsidR="00D407A5" w:rsidRPr="006C19FD" w:rsidRDefault="00D407A5" w:rsidP="005E3F96">
            <w:pPr>
              <w:rPr>
                <w:rFonts w:cs="Arial"/>
                <w:b/>
              </w:rPr>
            </w:pPr>
            <w:r w:rsidRPr="006C19FD">
              <w:rPr>
                <w:rFonts w:cs="Arial"/>
                <w:b/>
              </w:rPr>
              <w:t>Recommendation:</w:t>
            </w:r>
          </w:p>
        </w:tc>
        <w:tc>
          <w:tcPr>
            <w:tcW w:w="6621" w:type="dxa"/>
            <w:shd w:val="clear" w:color="auto" w:fill="auto"/>
          </w:tcPr>
          <w:p w:rsidR="00D407A5" w:rsidRDefault="00D407A5" w:rsidP="005E3F96">
            <w:pPr>
              <w:rPr>
                <w:rFonts w:cs="Arial"/>
              </w:rPr>
            </w:pPr>
            <w:r>
              <w:rPr>
                <w:rFonts w:cs="Arial"/>
              </w:rPr>
              <w:t>The Board is requested to scrutinise the performance report for period 1 of 2017/18 in advance of sending it to Welsh Government and specifically consider:</w:t>
            </w:r>
          </w:p>
          <w:p w:rsidR="00D407A5" w:rsidRPr="004A6DCB" w:rsidRDefault="00D407A5" w:rsidP="00D407A5">
            <w:pPr>
              <w:numPr>
                <w:ilvl w:val="0"/>
                <w:numId w:val="2"/>
              </w:numPr>
              <w:rPr>
                <w:rFonts w:cs="Arial"/>
              </w:rPr>
            </w:pPr>
            <w:r w:rsidRPr="004A6DCB">
              <w:rPr>
                <w:rFonts w:cs="Arial"/>
              </w:rPr>
              <w:t>The adequacy of the supporting explanation for each measure and how we are adopting ways of working that demonstrate the application of sustainable management of natural resources,</w:t>
            </w:r>
          </w:p>
          <w:p w:rsidR="00D407A5" w:rsidRPr="004A6DCB" w:rsidRDefault="00D407A5" w:rsidP="00D407A5">
            <w:pPr>
              <w:numPr>
                <w:ilvl w:val="0"/>
                <w:numId w:val="2"/>
              </w:numPr>
              <w:rPr>
                <w:rFonts w:cs="Arial"/>
              </w:rPr>
            </w:pPr>
            <w:r w:rsidRPr="004A6DCB">
              <w:rPr>
                <w:rFonts w:cs="Arial"/>
              </w:rPr>
              <w:t>The mitigations and actions proposed to address risks to delivery, and</w:t>
            </w:r>
          </w:p>
          <w:p w:rsidR="00D407A5" w:rsidRPr="004A6DCB" w:rsidRDefault="00D407A5" w:rsidP="00D407A5">
            <w:pPr>
              <w:numPr>
                <w:ilvl w:val="0"/>
                <w:numId w:val="2"/>
              </w:numPr>
              <w:rPr>
                <w:rFonts w:cs="Arial"/>
              </w:rPr>
            </w:pPr>
            <w:r w:rsidRPr="004A6DCB">
              <w:rPr>
                <w:rFonts w:cs="Arial"/>
              </w:rPr>
              <w:t>If you are clear, in terms of risk a</w:t>
            </w:r>
            <w:r w:rsidRPr="007C0156">
              <w:rPr>
                <w:rFonts w:cs="Arial"/>
              </w:rPr>
              <w:t>ppetite, that the actions and mitigations in the report are consistent with the Board’s risk appetite.</w:t>
            </w:r>
          </w:p>
        </w:tc>
      </w:tr>
    </w:tbl>
    <w:p w:rsidR="00D407A5" w:rsidRDefault="00D407A5" w:rsidP="00D407A5">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D407A5" w:rsidRPr="006C19FD" w:rsidTr="005E3F96">
        <w:tc>
          <w:tcPr>
            <w:tcW w:w="3586" w:type="dxa"/>
            <w:shd w:val="clear" w:color="auto" w:fill="auto"/>
          </w:tcPr>
          <w:p w:rsidR="00D407A5" w:rsidRPr="006C19FD" w:rsidRDefault="00D407A5" w:rsidP="005E3F96">
            <w:pPr>
              <w:rPr>
                <w:rFonts w:cs="Arial"/>
              </w:rPr>
            </w:pPr>
            <w:r w:rsidRPr="006C19FD">
              <w:rPr>
                <w:rFonts w:cs="Arial"/>
                <w:b/>
              </w:rPr>
              <w:t xml:space="preserve">Impact: </w:t>
            </w:r>
          </w:p>
        </w:tc>
        <w:tc>
          <w:tcPr>
            <w:tcW w:w="6621" w:type="dxa"/>
            <w:shd w:val="clear" w:color="auto" w:fill="auto"/>
          </w:tcPr>
          <w:p w:rsidR="00D407A5" w:rsidRPr="007C0156" w:rsidRDefault="00D407A5" w:rsidP="005E3F96">
            <w:pPr>
              <w:autoSpaceDE w:val="0"/>
              <w:autoSpaceDN w:val="0"/>
              <w:adjustRightInd w:val="0"/>
              <w:rPr>
                <w:rFonts w:cs="Arial"/>
              </w:rPr>
            </w:pPr>
            <w:r w:rsidRPr="007C0156">
              <w:rPr>
                <w:rFonts w:cs="Arial"/>
              </w:rPr>
              <w:t xml:space="preserve">How do the proposals in this paper help NRW achieve the Wellbeing of Future Generations Act ways of working in terms </w:t>
            </w:r>
            <w:proofErr w:type="gramStart"/>
            <w:r w:rsidRPr="007C0156">
              <w:rPr>
                <w:rFonts w:cs="Arial"/>
              </w:rPr>
              <w:t>of :</w:t>
            </w:r>
            <w:proofErr w:type="gramEnd"/>
          </w:p>
          <w:p w:rsidR="00D407A5" w:rsidRPr="007C0156" w:rsidRDefault="00D407A5" w:rsidP="00D407A5">
            <w:pPr>
              <w:pStyle w:val="Bullets"/>
              <w:numPr>
                <w:ilvl w:val="0"/>
                <w:numId w:val="7"/>
              </w:numPr>
              <w:ind w:left="382"/>
              <w:rPr>
                <w:color w:val="auto"/>
              </w:rPr>
            </w:pPr>
            <w:r w:rsidRPr="007C0156">
              <w:rPr>
                <w:b/>
                <w:color w:val="auto"/>
              </w:rPr>
              <w:t xml:space="preserve">Looking at the long term – </w:t>
            </w:r>
            <w:r w:rsidRPr="007C0156">
              <w:rPr>
                <w:color w:val="auto"/>
              </w:rPr>
              <w:t xml:space="preserve">The indicators within the performance report build a </w:t>
            </w:r>
            <w:proofErr w:type="gramStart"/>
            <w:r w:rsidRPr="007C0156">
              <w:rPr>
                <w:color w:val="auto"/>
              </w:rPr>
              <w:t>long term</w:t>
            </w:r>
            <w:proofErr w:type="gramEnd"/>
            <w:r w:rsidRPr="007C0156">
              <w:rPr>
                <w:color w:val="auto"/>
              </w:rPr>
              <w:t xml:space="preserve"> picture of change.</w:t>
            </w:r>
          </w:p>
          <w:p w:rsidR="00D407A5" w:rsidRPr="007C0156" w:rsidRDefault="00D407A5" w:rsidP="00D407A5">
            <w:pPr>
              <w:pStyle w:val="Bullets"/>
              <w:numPr>
                <w:ilvl w:val="0"/>
                <w:numId w:val="7"/>
              </w:numPr>
              <w:ind w:left="382"/>
              <w:rPr>
                <w:color w:val="auto"/>
              </w:rPr>
            </w:pPr>
            <w:r w:rsidRPr="007C0156">
              <w:rPr>
                <w:b/>
                <w:color w:val="auto"/>
              </w:rPr>
              <w:t>Taking an integrated approach</w:t>
            </w:r>
            <w:r w:rsidRPr="007C0156">
              <w:rPr>
                <w:color w:val="auto"/>
              </w:rPr>
              <w:t xml:space="preserve"> – the performance report cuts across the breadth of our work.</w:t>
            </w:r>
          </w:p>
          <w:p w:rsidR="00D407A5" w:rsidRPr="007C0156" w:rsidRDefault="00D407A5" w:rsidP="00D407A5">
            <w:pPr>
              <w:pStyle w:val="Bullets"/>
              <w:numPr>
                <w:ilvl w:val="0"/>
                <w:numId w:val="7"/>
              </w:numPr>
              <w:ind w:left="382"/>
              <w:rPr>
                <w:color w:val="auto"/>
              </w:rPr>
            </w:pPr>
            <w:r w:rsidRPr="007C0156">
              <w:rPr>
                <w:b/>
                <w:color w:val="auto"/>
              </w:rPr>
              <w:t>Involving a diversity of the population</w:t>
            </w:r>
            <w:r w:rsidRPr="007C0156">
              <w:rPr>
                <w:color w:val="auto"/>
              </w:rPr>
              <w:t xml:space="preserve"> – the performance report is made available to the public.</w:t>
            </w:r>
          </w:p>
          <w:p w:rsidR="00D407A5" w:rsidRPr="007C0156" w:rsidRDefault="00D407A5" w:rsidP="00D407A5">
            <w:pPr>
              <w:pStyle w:val="Bullets"/>
              <w:numPr>
                <w:ilvl w:val="0"/>
                <w:numId w:val="7"/>
              </w:numPr>
              <w:ind w:left="382"/>
              <w:rPr>
                <w:color w:val="auto"/>
              </w:rPr>
            </w:pPr>
            <w:r w:rsidRPr="007C0156">
              <w:rPr>
                <w:b/>
                <w:color w:val="auto"/>
              </w:rPr>
              <w:t>Working in a collaborative way</w:t>
            </w:r>
            <w:r w:rsidRPr="007C0156">
              <w:rPr>
                <w:color w:val="auto"/>
              </w:rPr>
              <w:t xml:space="preserve"> – </w:t>
            </w:r>
            <w:proofErr w:type="gramStart"/>
            <w:r w:rsidRPr="007C0156">
              <w:rPr>
                <w:color w:val="auto"/>
              </w:rPr>
              <w:t>a number of</w:t>
            </w:r>
            <w:proofErr w:type="gramEnd"/>
            <w:r w:rsidRPr="007C0156">
              <w:rPr>
                <w:color w:val="auto"/>
              </w:rPr>
              <w:t xml:space="preserve"> our indicators track change that requires input from multiple partners.</w:t>
            </w:r>
          </w:p>
          <w:p w:rsidR="00D407A5" w:rsidRPr="007C0156" w:rsidRDefault="00D407A5" w:rsidP="00D407A5">
            <w:pPr>
              <w:pStyle w:val="Bullets"/>
              <w:numPr>
                <w:ilvl w:val="0"/>
                <w:numId w:val="7"/>
              </w:numPr>
              <w:ind w:left="382"/>
              <w:rPr>
                <w:color w:val="auto"/>
              </w:rPr>
            </w:pPr>
            <w:r w:rsidRPr="007C0156">
              <w:rPr>
                <w:rFonts w:cs="Arial"/>
                <w:b/>
                <w:color w:val="auto"/>
              </w:rPr>
              <w:t xml:space="preserve">Preventing issues from occurring </w:t>
            </w:r>
            <w:r w:rsidRPr="007C0156">
              <w:rPr>
                <w:rFonts w:cs="Arial"/>
                <w:color w:val="auto"/>
              </w:rPr>
              <w:t>– early identification of emerging through the performance report allow plans and priorities to be set to best effect.</w:t>
            </w:r>
          </w:p>
        </w:tc>
      </w:tr>
    </w:tbl>
    <w:p w:rsidR="00D407A5" w:rsidRDefault="00D407A5" w:rsidP="00D407A5">
      <w:pPr>
        <w:rPr>
          <w:rFonts w:cs="Arial"/>
          <w:b/>
          <w:u w:val="single"/>
        </w:rPr>
      </w:pPr>
    </w:p>
    <w:p w:rsidR="00D407A5" w:rsidRPr="00825EA4" w:rsidRDefault="00D407A5" w:rsidP="00D407A5">
      <w:pPr>
        <w:rPr>
          <w:rFonts w:cs="Arial"/>
        </w:rPr>
      </w:pPr>
      <w:r>
        <w:rPr>
          <w:rFonts w:cs="Arial"/>
          <w:b/>
          <w:u w:val="single"/>
        </w:rPr>
        <w:br w:type="page"/>
      </w:r>
      <w:r w:rsidRPr="00825EA4">
        <w:rPr>
          <w:rFonts w:cs="Arial"/>
          <w:b/>
          <w:u w:val="single"/>
        </w:rPr>
        <w:lastRenderedPageBreak/>
        <w:t>Issue</w:t>
      </w:r>
    </w:p>
    <w:p w:rsidR="00D407A5" w:rsidRPr="00825EA4" w:rsidRDefault="00D407A5" w:rsidP="00D407A5">
      <w:pPr>
        <w:ind w:left="720" w:hanging="720"/>
        <w:rPr>
          <w:rFonts w:cs="Arial"/>
        </w:rPr>
      </w:pPr>
    </w:p>
    <w:p w:rsidR="00D407A5" w:rsidRDefault="00D407A5" w:rsidP="00D407A5">
      <w:pPr>
        <w:numPr>
          <w:ilvl w:val="0"/>
          <w:numId w:val="3"/>
        </w:numPr>
      </w:pPr>
      <w:r>
        <w:t>The 2017/18 period one round of corporate performance reporting, for 1 April 2017 to 31 July 2017, has now been completed. The performance report has been prepared for Board scrutiny prior to submission to Welsh Government. Performance reporting takes place every four months</w:t>
      </w:r>
    </w:p>
    <w:p w:rsidR="00D407A5" w:rsidRPr="00825EA4" w:rsidRDefault="00D407A5" w:rsidP="00D407A5">
      <w:pPr>
        <w:rPr>
          <w:rFonts w:cs="Arial"/>
        </w:rPr>
      </w:pPr>
    </w:p>
    <w:p w:rsidR="00D407A5" w:rsidRDefault="00D407A5" w:rsidP="00D407A5">
      <w:pPr>
        <w:ind w:left="720" w:hanging="720"/>
        <w:rPr>
          <w:rFonts w:cs="Arial"/>
          <w:b/>
          <w:u w:val="single"/>
        </w:rPr>
      </w:pPr>
      <w:r w:rsidRPr="00825EA4">
        <w:rPr>
          <w:rFonts w:cs="Arial"/>
          <w:b/>
          <w:u w:val="single"/>
        </w:rPr>
        <w:t>Background</w:t>
      </w:r>
    </w:p>
    <w:p w:rsidR="00D407A5" w:rsidRPr="00825EA4" w:rsidRDefault="00D407A5" w:rsidP="00D407A5">
      <w:pPr>
        <w:ind w:left="720" w:hanging="720"/>
        <w:rPr>
          <w:rFonts w:cs="Arial"/>
        </w:rPr>
      </w:pPr>
    </w:p>
    <w:p w:rsidR="00D407A5" w:rsidRPr="000D2F02" w:rsidRDefault="00D407A5" w:rsidP="00D407A5">
      <w:pPr>
        <w:numPr>
          <w:ilvl w:val="0"/>
          <w:numId w:val="3"/>
        </w:numPr>
        <w:rPr>
          <w:rFonts w:cs="Arial"/>
        </w:rPr>
      </w:pPr>
      <w:r>
        <w:t>The corporate performance report is one of the Board’s principal ways of scrutinising our delivery and supporting strategic planning.</w:t>
      </w:r>
    </w:p>
    <w:p w:rsidR="00D407A5" w:rsidRPr="00825EA4" w:rsidRDefault="00D407A5" w:rsidP="00D407A5">
      <w:pPr>
        <w:ind w:left="720"/>
        <w:rPr>
          <w:rFonts w:cs="Arial"/>
        </w:rPr>
      </w:pPr>
    </w:p>
    <w:p w:rsidR="00D407A5" w:rsidRDefault="00D407A5" w:rsidP="00D407A5">
      <w:pPr>
        <w:numPr>
          <w:ilvl w:val="0"/>
          <w:numId w:val="3"/>
        </w:numPr>
        <w:rPr>
          <w:rFonts w:cs="Arial"/>
        </w:rPr>
      </w:pPr>
      <w:r w:rsidRPr="009E4E34">
        <w:rPr>
          <w:rFonts w:cs="Arial"/>
        </w:rPr>
        <w:t>Th</w:t>
      </w:r>
      <w:r>
        <w:rPr>
          <w:rFonts w:cs="Arial"/>
        </w:rPr>
        <w:t>e p</w:t>
      </w:r>
      <w:r w:rsidRPr="009E4E34">
        <w:rPr>
          <w:rFonts w:cs="Arial"/>
        </w:rPr>
        <w:t>erformance report</w:t>
      </w:r>
      <w:r>
        <w:rPr>
          <w:rFonts w:cs="Arial"/>
        </w:rPr>
        <w:t xml:space="preserve"> (annex 1) was developed as part of the process to prepare the 2017/18 Business Plan and 2017-22 Corporate Plan with the Board, the Executive Team and the Planning &amp; Performance sub group of the Board. It consists of:</w:t>
      </w:r>
    </w:p>
    <w:p w:rsidR="00D407A5" w:rsidRDefault="00D407A5" w:rsidP="00D407A5">
      <w:pPr>
        <w:numPr>
          <w:ilvl w:val="0"/>
          <w:numId w:val="4"/>
        </w:numPr>
        <w:rPr>
          <w:rFonts w:cs="Arial"/>
        </w:rPr>
      </w:pPr>
      <w:r>
        <w:rPr>
          <w:rFonts w:cs="Arial"/>
        </w:rPr>
        <w:t>A dashboard providing a single page overview of performance highlights against the Business Plan 2017/18.</w:t>
      </w:r>
    </w:p>
    <w:p w:rsidR="00D407A5" w:rsidRDefault="00D407A5" w:rsidP="00D407A5">
      <w:pPr>
        <w:numPr>
          <w:ilvl w:val="0"/>
          <w:numId w:val="4"/>
        </w:numPr>
        <w:rPr>
          <w:rFonts w:cs="Arial"/>
        </w:rPr>
      </w:pPr>
      <w:r>
        <w:rPr>
          <w:rFonts w:cs="Arial"/>
        </w:rPr>
        <w:t xml:space="preserve">Text for each dashboard measure focussing on what we have achieved, if there are any </w:t>
      </w:r>
      <w:proofErr w:type="spellStart"/>
      <w:r>
        <w:rPr>
          <w:rFonts w:cs="Arial"/>
        </w:rPr>
        <w:t>noteable</w:t>
      </w:r>
      <w:proofErr w:type="spellEnd"/>
      <w:r>
        <w:rPr>
          <w:rFonts w:cs="Arial"/>
        </w:rPr>
        <w:t xml:space="preserve"> issues/risks and what are their implications, and what we are going to do next.</w:t>
      </w:r>
    </w:p>
    <w:p w:rsidR="00D407A5" w:rsidRDefault="00D407A5" w:rsidP="00D407A5">
      <w:pPr>
        <w:numPr>
          <w:ilvl w:val="0"/>
          <w:numId w:val="4"/>
        </w:numPr>
        <w:rPr>
          <w:rFonts w:cs="Arial"/>
        </w:rPr>
      </w:pPr>
      <w:r>
        <w:rPr>
          <w:rFonts w:cs="Arial"/>
        </w:rPr>
        <w:t>Text explaining how, across the suite of dashboard measures, we are applying the nine principles of sustainable management of natural resources.</w:t>
      </w:r>
    </w:p>
    <w:p w:rsidR="00D407A5" w:rsidRDefault="00D407A5" w:rsidP="00D407A5">
      <w:pPr>
        <w:ind w:left="360"/>
        <w:rPr>
          <w:rFonts w:cs="Arial"/>
        </w:rPr>
      </w:pPr>
    </w:p>
    <w:p w:rsidR="00D407A5" w:rsidRDefault="00D407A5" w:rsidP="00D407A5">
      <w:pPr>
        <w:numPr>
          <w:ilvl w:val="0"/>
          <w:numId w:val="3"/>
        </w:numPr>
        <w:rPr>
          <w:rFonts w:cs="Arial"/>
        </w:rPr>
      </w:pPr>
      <w:r>
        <w:rPr>
          <w:rFonts w:cs="Arial"/>
        </w:rPr>
        <w:t>This is the first report for current Business Plan (2017/18). It is also the first report of the new Corporate Plan period (2017-2022). Our Corporate Plan will contain our latest set of Corporate Indicators. These will be reported at appropriate points later in the year, and specifically to support next year’s strategic planning and review of our Well-being Objectives.</w:t>
      </w:r>
    </w:p>
    <w:p w:rsidR="00D407A5" w:rsidRPr="00825EA4" w:rsidRDefault="00D407A5" w:rsidP="00D407A5">
      <w:pPr>
        <w:rPr>
          <w:rFonts w:cs="Arial"/>
        </w:rPr>
      </w:pPr>
    </w:p>
    <w:p w:rsidR="00D407A5" w:rsidRDefault="00D407A5" w:rsidP="00D407A5">
      <w:pPr>
        <w:rPr>
          <w:rFonts w:cs="Arial"/>
          <w:b/>
          <w:u w:val="single"/>
        </w:rPr>
      </w:pPr>
      <w:r>
        <w:rPr>
          <w:rFonts w:cs="Arial"/>
          <w:b/>
          <w:u w:val="single"/>
        </w:rPr>
        <w:t>Assessment</w:t>
      </w:r>
    </w:p>
    <w:p w:rsidR="00D407A5" w:rsidRPr="00825EA4" w:rsidRDefault="00D407A5" w:rsidP="00D407A5">
      <w:pPr>
        <w:rPr>
          <w:rFonts w:cs="Arial"/>
        </w:rPr>
      </w:pPr>
    </w:p>
    <w:p w:rsidR="00D407A5" w:rsidRPr="009A42CD" w:rsidRDefault="00D407A5" w:rsidP="00D407A5">
      <w:pPr>
        <w:numPr>
          <w:ilvl w:val="0"/>
          <w:numId w:val="3"/>
        </w:numPr>
        <w:rPr>
          <w:rFonts w:cs="Arial"/>
        </w:rPr>
      </w:pPr>
      <w:r>
        <w:rPr>
          <w:rFonts w:cs="Arial"/>
        </w:rPr>
        <w:t>For</w:t>
      </w:r>
      <w:r w:rsidRPr="006C3E52">
        <w:rPr>
          <w:rFonts w:cs="Arial"/>
        </w:rPr>
        <w:t xml:space="preserve"> the </w:t>
      </w:r>
      <w:r>
        <w:rPr>
          <w:rFonts w:cs="Arial"/>
        </w:rPr>
        <w:t>d</w:t>
      </w:r>
      <w:r w:rsidRPr="006C3E52">
        <w:rPr>
          <w:rFonts w:cs="Arial"/>
        </w:rPr>
        <w:t xml:space="preserve">ashboard, </w:t>
      </w:r>
      <w:r>
        <w:rPr>
          <w:rFonts w:cs="Arial"/>
        </w:rPr>
        <w:t xml:space="preserve">the first report for current Business Plan (2017/18), </w:t>
      </w:r>
      <w:r w:rsidRPr="006C3E52">
        <w:rPr>
          <w:rFonts w:cs="Arial"/>
        </w:rPr>
        <w:t xml:space="preserve">our performance </w:t>
      </w:r>
      <w:r>
        <w:t xml:space="preserve">is shown below. For future </w:t>
      </w:r>
      <w:proofErr w:type="gramStart"/>
      <w:r>
        <w:t>periods</w:t>
      </w:r>
      <w:proofErr w:type="gramEnd"/>
      <w:r>
        <w:t xml:space="preserve"> we will show the previous report situation, and expectation, as appropriate.</w:t>
      </w:r>
    </w:p>
    <w:p w:rsidR="00D407A5" w:rsidRPr="00603DC3" w:rsidRDefault="00D407A5" w:rsidP="00D407A5">
      <w:pPr>
        <w:rPr>
          <w:rFonts w:cs="Arial"/>
          <w:highlight w:val="yellow"/>
        </w:rPr>
      </w:pPr>
    </w:p>
    <w:tbl>
      <w:tblPr>
        <w:tblW w:w="5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tblGrid>
      <w:tr w:rsidR="00D407A5" w:rsidRPr="00603DC3" w:rsidTr="005E3F96">
        <w:tc>
          <w:tcPr>
            <w:tcW w:w="1701" w:type="dxa"/>
            <w:shd w:val="clear" w:color="auto" w:fill="auto"/>
          </w:tcPr>
          <w:p w:rsidR="00D407A5" w:rsidRPr="009B54E9" w:rsidRDefault="00D407A5" w:rsidP="005E3F96">
            <w:pPr>
              <w:rPr>
                <w:rFonts w:cs="Arial"/>
              </w:rPr>
            </w:pPr>
          </w:p>
        </w:tc>
        <w:tc>
          <w:tcPr>
            <w:tcW w:w="3969" w:type="dxa"/>
          </w:tcPr>
          <w:p w:rsidR="00D407A5" w:rsidRPr="004B5CED" w:rsidRDefault="00D407A5" w:rsidP="005E3F96">
            <w:pPr>
              <w:rPr>
                <w:rFonts w:cs="Arial"/>
              </w:rPr>
            </w:pPr>
            <w:r w:rsidRPr="004B5CED">
              <w:rPr>
                <w:rFonts w:cs="Arial"/>
              </w:rPr>
              <w:t xml:space="preserve">Period </w:t>
            </w:r>
            <w:r>
              <w:rPr>
                <w:rFonts w:cs="Arial"/>
              </w:rPr>
              <w:t>1</w:t>
            </w:r>
          </w:p>
          <w:p w:rsidR="00D407A5" w:rsidRPr="004B5CED" w:rsidRDefault="00D407A5" w:rsidP="005E3F96">
            <w:pPr>
              <w:rPr>
                <w:rFonts w:cs="Arial"/>
              </w:rPr>
            </w:pPr>
            <w:r w:rsidRPr="004B5CED">
              <w:rPr>
                <w:rFonts w:cs="Arial"/>
              </w:rPr>
              <w:t>1 April 201</w:t>
            </w:r>
            <w:r>
              <w:rPr>
                <w:rFonts w:cs="Arial"/>
              </w:rPr>
              <w:t>7</w:t>
            </w:r>
            <w:r w:rsidRPr="004B5CED">
              <w:rPr>
                <w:rFonts w:cs="Arial"/>
              </w:rPr>
              <w:t xml:space="preserve"> to 3</w:t>
            </w:r>
            <w:r>
              <w:rPr>
                <w:rFonts w:cs="Arial"/>
              </w:rPr>
              <w:t>1 July 2017</w:t>
            </w:r>
          </w:p>
        </w:tc>
      </w:tr>
      <w:tr w:rsidR="00D407A5" w:rsidRPr="00603DC3" w:rsidTr="005E3F96">
        <w:tc>
          <w:tcPr>
            <w:tcW w:w="1701" w:type="dxa"/>
            <w:shd w:val="clear" w:color="auto" w:fill="auto"/>
          </w:tcPr>
          <w:p w:rsidR="00D407A5" w:rsidRPr="009B54E9" w:rsidRDefault="00D407A5" w:rsidP="005E3F96">
            <w:pPr>
              <w:rPr>
                <w:rFonts w:cs="Arial"/>
              </w:rPr>
            </w:pPr>
            <w:r w:rsidRPr="009B54E9">
              <w:rPr>
                <w:rFonts w:cs="Arial"/>
              </w:rPr>
              <w:t>‘Green’</w:t>
            </w:r>
          </w:p>
        </w:tc>
        <w:tc>
          <w:tcPr>
            <w:tcW w:w="3969" w:type="dxa"/>
            <w:shd w:val="clear" w:color="auto" w:fill="auto"/>
          </w:tcPr>
          <w:p w:rsidR="00D407A5" w:rsidRPr="00C04E83" w:rsidRDefault="00D407A5" w:rsidP="005E3F96">
            <w:pPr>
              <w:rPr>
                <w:rFonts w:cs="Arial"/>
              </w:rPr>
            </w:pPr>
            <w:r>
              <w:rPr>
                <w:rFonts w:cs="Arial"/>
              </w:rPr>
              <w:t>24</w:t>
            </w:r>
          </w:p>
        </w:tc>
      </w:tr>
      <w:tr w:rsidR="00D407A5" w:rsidRPr="00603DC3" w:rsidTr="005E3F96">
        <w:tc>
          <w:tcPr>
            <w:tcW w:w="1701" w:type="dxa"/>
            <w:shd w:val="clear" w:color="auto" w:fill="auto"/>
          </w:tcPr>
          <w:p w:rsidR="00D407A5" w:rsidRPr="009B54E9" w:rsidRDefault="00D407A5" w:rsidP="005E3F96">
            <w:pPr>
              <w:rPr>
                <w:rFonts w:cs="Arial"/>
              </w:rPr>
            </w:pPr>
            <w:r w:rsidRPr="009B54E9">
              <w:rPr>
                <w:rFonts w:cs="Arial"/>
              </w:rPr>
              <w:t>‘Amber’</w:t>
            </w:r>
          </w:p>
        </w:tc>
        <w:tc>
          <w:tcPr>
            <w:tcW w:w="3969" w:type="dxa"/>
            <w:shd w:val="clear" w:color="auto" w:fill="auto"/>
          </w:tcPr>
          <w:p w:rsidR="00D407A5" w:rsidRPr="00C04E83" w:rsidRDefault="00D407A5" w:rsidP="005E3F96">
            <w:pPr>
              <w:rPr>
                <w:rFonts w:cs="Arial"/>
              </w:rPr>
            </w:pPr>
            <w:r>
              <w:rPr>
                <w:rFonts w:cs="Arial"/>
              </w:rPr>
              <w:t>7</w:t>
            </w:r>
          </w:p>
        </w:tc>
      </w:tr>
      <w:tr w:rsidR="00D407A5" w:rsidRPr="00603DC3" w:rsidTr="005E3F96">
        <w:tc>
          <w:tcPr>
            <w:tcW w:w="1701" w:type="dxa"/>
            <w:shd w:val="clear" w:color="auto" w:fill="auto"/>
          </w:tcPr>
          <w:p w:rsidR="00D407A5" w:rsidRPr="009B54E9" w:rsidRDefault="00D407A5" w:rsidP="005E3F96">
            <w:pPr>
              <w:rPr>
                <w:rFonts w:cs="Arial"/>
              </w:rPr>
            </w:pPr>
            <w:r w:rsidRPr="009B54E9">
              <w:rPr>
                <w:rFonts w:cs="Arial"/>
              </w:rPr>
              <w:t>‘Red’</w:t>
            </w:r>
          </w:p>
        </w:tc>
        <w:tc>
          <w:tcPr>
            <w:tcW w:w="3969" w:type="dxa"/>
            <w:shd w:val="clear" w:color="auto" w:fill="auto"/>
          </w:tcPr>
          <w:p w:rsidR="00D407A5" w:rsidRPr="00C04E83" w:rsidRDefault="00D407A5" w:rsidP="005E3F96">
            <w:pPr>
              <w:rPr>
                <w:rFonts w:cs="Arial"/>
              </w:rPr>
            </w:pPr>
            <w:r>
              <w:rPr>
                <w:rFonts w:cs="Arial"/>
              </w:rPr>
              <w:t>0</w:t>
            </w:r>
          </w:p>
        </w:tc>
      </w:tr>
      <w:tr w:rsidR="00D407A5" w:rsidRPr="00603DC3" w:rsidTr="005E3F96">
        <w:tc>
          <w:tcPr>
            <w:tcW w:w="1701" w:type="dxa"/>
            <w:shd w:val="clear" w:color="auto" w:fill="auto"/>
          </w:tcPr>
          <w:p w:rsidR="00D407A5" w:rsidRPr="009B54E9" w:rsidRDefault="00D407A5" w:rsidP="005E3F96">
            <w:pPr>
              <w:rPr>
                <w:rFonts w:cs="Arial"/>
              </w:rPr>
            </w:pPr>
            <w:r>
              <w:rPr>
                <w:rFonts w:cs="Arial"/>
              </w:rPr>
              <w:t>TBC</w:t>
            </w:r>
          </w:p>
        </w:tc>
        <w:tc>
          <w:tcPr>
            <w:tcW w:w="3969" w:type="dxa"/>
            <w:shd w:val="clear" w:color="auto" w:fill="auto"/>
          </w:tcPr>
          <w:p w:rsidR="00D407A5" w:rsidRPr="00C04E83" w:rsidRDefault="00D407A5" w:rsidP="005E3F96">
            <w:pPr>
              <w:rPr>
                <w:rFonts w:cs="Arial"/>
              </w:rPr>
            </w:pPr>
            <w:r>
              <w:rPr>
                <w:rFonts w:cs="Arial"/>
              </w:rPr>
              <w:t>3</w:t>
            </w:r>
          </w:p>
        </w:tc>
      </w:tr>
      <w:tr w:rsidR="00D407A5" w:rsidRPr="009125BD" w:rsidTr="005E3F96">
        <w:tc>
          <w:tcPr>
            <w:tcW w:w="1701" w:type="dxa"/>
            <w:shd w:val="clear" w:color="auto" w:fill="auto"/>
          </w:tcPr>
          <w:p w:rsidR="00D407A5" w:rsidRPr="009B54E9" w:rsidRDefault="00D407A5" w:rsidP="005E3F96">
            <w:pPr>
              <w:jc w:val="right"/>
              <w:rPr>
                <w:rFonts w:cs="Arial"/>
              </w:rPr>
            </w:pPr>
            <w:r w:rsidRPr="009B54E9">
              <w:rPr>
                <w:rFonts w:cs="Arial"/>
              </w:rPr>
              <w:t>Total</w:t>
            </w:r>
          </w:p>
        </w:tc>
        <w:tc>
          <w:tcPr>
            <w:tcW w:w="3969" w:type="dxa"/>
            <w:shd w:val="clear" w:color="auto" w:fill="auto"/>
          </w:tcPr>
          <w:p w:rsidR="00D407A5" w:rsidRPr="00C04E83" w:rsidRDefault="00D407A5" w:rsidP="005E3F96">
            <w:pPr>
              <w:rPr>
                <w:rFonts w:cs="Arial"/>
              </w:rPr>
            </w:pPr>
            <w:r w:rsidRPr="00C04E83">
              <w:rPr>
                <w:rFonts w:cs="Arial"/>
              </w:rPr>
              <w:t>34</w:t>
            </w:r>
          </w:p>
        </w:tc>
      </w:tr>
    </w:tbl>
    <w:p w:rsidR="00D407A5" w:rsidRDefault="00D407A5" w:rsidP="00D407A5">
      <w:pPr>
        <w:rPr>
          <w:rFonts w:cs="Arial"/>
          <w:highlight w:val="yellow"/>
        </w:rPr>
      </w:pPr>
    </w:p>
    <w:p w:rsidR="00D407A5" w:rsidRPr="004A6DCB" w:rsidRDefault="00D407A5" w:rsidP="00D407A5">
      <w:pPr>
        <w:numPr>
          <w:ilvl w:val="0"/>
          <w:numId w:val="3"/>
        </w:numPr>
        <w:rPr>
          <w:rFonts w:cs="Arial"/>
        </w:rPr>
      </w:pPr>
      <w:r w:rsidRPr="004A6DCB">
        <w:rPr>
          <w:rFonts w:cs="Arial"/>
        </w:rPr>
        <w:t>The Board is requested to scrutinise the performance report for period 1 of 2017/18, and specifically consider:</w:t>
      </w:r>
    </w:p>
    <w:p w:rsidR="00D407A5" w:rsidRPr="004A6DCB" w:rsidRDefault="00D407A5" w:rsidP="00D407A5">
      <w:pPr>
        <w:numPr>
          <w:ilvl w:val="0"/>
          <w:numId w:val="6"/>
        </w:numPr>
        <w:rPr>
          <w:rFonts w:cs="Arial"/>
        </w:rPr>
      </w:pPr>
      <w:r w:rsidRPr="004A6DCB">
        <w:rPr>
          <w:rFonts w:cs="Arial"/>
        </w:rPr>
        <w:lastRenderedPageBreak/>
        <w:t>The adequacy of the supporting explanation for each measure and how we are adopting ways of working that demonstrate the application of sustainable management of natural resources,</w:t>
      </w:r>
    </w:p>
    <w:p w:rsidR="00D407A5" w:rsidRPr="004A6DCB" w:rsidRDefault="00D407A5" w:rsidP="00D407A5">
      <w:pPr>
        <w:numPr>
          <w:ilvl w:val="0"/>
          <w:numId w:val="6"/>
        </w:numPr>
        <w:rPr>
          <w:rFonts w:cs="Arial"/>
        </w:rPr>
      </w:pPr>
      <w:r w:rsidRPr="004A6DCB">
        <w:rPr>
          <w:rFonts w:cs="Arial"/>
        </w:rPr>
        <w:t>The mitigations and actions proposed to address risks to delivery, and</w:t>
      </w:r>
    </w:p>
    <w:p w:rsidR="00D407A5" w:rsidRPr="007C0156" w:rsidRDefault="00D407A5" w:rsidP="00D407A5">
      <w:pPr>
        <w:numPr>
          <w:ilvl w:val="0"/>
          <w:numId w:val="6"/>
        </w:numPr>
        <w:rPr>
          <w:rFonts w:cs="Arial"/>
        </w:rPr>
      </w:pPr>
      <w:r w:rsidRPr="007C0156">
        <w:rPr>
          <w:rFonts w:cs="Arial"/>
        </w:rPr>
        <w:t>If you are clear, in terms of risk appetite, that</w:t>
      </w:r>
      <w:r>
        <w:rPr>
          <w:rFonts w:cs="Arial"/>
        </w:rPr>
        <w:t xml:space="preserve"> </w:t>
      </w:r>
      <w:r w:rsidRPr="007C0156">
        <w:rPr>
          <w:rFonts w:cs="Arial"/>
        </w:rPr>
        <w:t>the actions and mitigations in the report are consistent with the Board’s risk appetite.</w:t>
      </w:r>
    </w:p>
    <w:p w:rsidR="00D407A5" w:rsidRDefault="00D407A5" w:rsidP="00D407A5">
      <w:pPr>
        <w:ind w:left="720"/>
        <w:rPr>
          <w:rFonts w:cs="Arial"/>
          <w:highlight w:val="yellow"/>
        </w:rPr>
      </w:pPr>
    </w:p>
    <w:p w:rsidR="00D407A5" w:rsidRPr="009F4EB0" w:rsidRDefault="00D407A5" w:rsidP="00D407A5">
      <w:pPr>
        <w:numPr>
          <w:ilvl w:val="0"/>
          <w:numId w:val="3"/>
        </w:numPr>
        <w:rPr>
          <w:rFonts w:cs="Arial"/>
        </w:rPr>
      </w:pPr>
      <w:r w:rsidRPr="009F4EB0">
        <w:rPr>
          <w:rFonts w:cs="Arial"/>
        </w:rPr>
        <w:t>The Board is asked to note the following items from the performance report</w:t>
      </w:r>
    </w:p>
    <w:p w:rsidR="00D407A5" w:rsidRPr="009F4EB0" w:rsidRDefault="00D407A5" w:rsidP="00D407A5">
      <w:pPr>
        <w:numPr>
          <w:ilvl w:val="0"/>
          <w:numId w:val="5"/>
        </w:numPr>
        <w:ind w:left="709"/>
        <w:rPr>
          <w:rFonts w:cs="Arial"/>
        </w:rPr>
      </w:pPr>
      <w:r w:rsidRPr="009F4EB0">
        <w:rPr>
          <w:rFonts w:cs="Arial"/>
        </w:rPr>
        <w:t>Create 230ha of habitat by March 2018 (rating to be confirmed) – This measure is made of two elements; 30ha from our flood defence work; and, 200ha from peatland restoration. Whils</w:t>
      </w:r>
      <w:r>
        <w:rPr>
          <w:rFonts w:cs="Arial"/>
        </w:rPr>
        <w:t>t</w:t>
      </w:r>
      <w:r w:rsidRPr="009F4EB0">
        <w:rPr>
          <w:rFonts w:cs="Arial"/>
        </w:rPr>
        <w:t xml:space="preserve"> the 30ha is expected to deliver by March 2018, the 200ha will no longer deliver. </w:t>
      </w:r>
      <w:r>
        <w:rPr>
          <w:rFonts w:cs="Arial"/>
        </w:rPr>
        <w:t>The 200ha</w:t>
      </w:r>
      <w:r w:rsidRPr="009F4EB0">
        <w:rPr>
          <w:rFonts w:cs="Arial"/>
        </w:rPr>
        <w:t xml:space="preserve"> was part of a wider package of work supporting our Carbon Positive aims. </w:t>
      </w:r>
      <w:proofErr w:type="gramStart"/>
      <w:r w:rsidRPr="009F4EB0">
        <w:rPr>
          <w:rFonts w:cs="Arial"/>
        </w:rPr>
        <w:t>However</w:t>
      </w:r>
      <w:proofErr w:type="gramEnd"/>
      <w:r w:rsidRPr="009F4EB0">
        <w:rPr>
          <w:rFonts w:cs="Arial"/>
        </w:rPr>
        <w:t xml:space="preserve"> </w:t>
      </w:r>
      <w:r>
        <w:rPr>
          <w:rFonts w:cs="Arial"/>
        </w:rPr>
        <w:t xml:space="preserve">it </w:t>
      </w:r>
      <w:r w:rsidRPr="009F4EB0">
        <w:rPr>
          <w:rFonts w:cs="Arial"/>
        </w:rPr>
        <w:t xml:space="preserve">did not meet relevant criteria so funding could not be made available. It is recommended this measure is revised from 230ha to 30ha for 2017/18. </w:t>
      </w:r>
      <w:r>
        <w:rPr>
          <w:rFonts w:cs="Arial"/>
        </w:rPr>
        <w:t>The measure</w:t>
      </w:r>
      <w:r w:rsidRPr="009F4EB0">
        <w:rPr>
          <w:rFonts w:cs="Arial"/>
        </w:rPr>
        <w:t xml:space="preserve"> should also continue in</w:t>
      </w:r>
      <w:r>
        <w:rPr>
          <w:rFonts w:cs="Arial"/>
        </w:rPr>
        <w:t>to</w:t>
      </w:r>
      <w:r w:rsidRPr="009F4EB0">
        <w:rPr>
          <w:rFonts w:cs="Arial"/>
        </w:rPr>
        <w:t xml:space="preserve"> 2018/19 </w:t>
      </w:r>
      <w:r>
        <w:rPr>
          <w:rFonts w:cs="Arial"/>
        </w:rPr>
        <w:t>to</w:t>
      </w:r>
      <w:r w:rsidRPr="009F4EB0">
        <w:rPr>
          <w:rFonts w:cs="Arial"/>
        </w:rPr>
        <w:t xml:space="preserve"> include habitat creation from </w:t>
      </w:r>
      <w:r>
        <w:rPr>
          <w:rFonts w:cs="Arial"/>
        </w:rPr>
        <w:t xml:space="preserve">work including, ancient woodland restoration, the LIFE </w:t>
      </w:r>
      <w:proofErr w:type="spellStart"/>
      <w:r>
        <w:rPr>
          <w:rFonts w:cs="Arial"/>
        </w:rPr>
        <w:t>lowand</w:t>
      </w:r>
      <w:proofErr w:type="spellEnd"/>
      <w:r>
        <w:rPr>
          <w:rFonts w:cs="Arial"/>
        </w:rPr>
        <w:t xml:space="preserve"> raised peat bog project, </w:t>
      </w:r>
      <w:r w:rsidRPr="009F4EB0">
        <w:rPr>
          <w:rFonts w:cs="Arial"/>
        </w:rPr>
        <w:t>and the Pen-y-</w:t>
      </w:r>
      <w:proofErr w:type="spellStart"/>
      <w:r w:rsidRPr="009F4EB0">
        <w:rPr>
          <w:rFonts w:cs="Arial"/>
        </w:rPr>
        <w:t>Cymoedd</w:t>
      </w:r>
      <w:proofErr w:type="spellEnd"/>
      <w:r w:rsidRPr="009F4EB0">
        <w:rPr>
          <w:rFonts w:cs="Arial"/>
        </w:rPr>
        <w:t xml:space="preserve"> wind farm.</w:t>
      </w:r>
    </w:p>
    <w:p w:rsidR="00D407A5" w:rsidRPr="009F4EB0" w:rsidRDefault="00D407A5" w:rsidP="00D407A5">
      <w:pPr>
        <w:numPr>
          <w:ilvl w:val="0"/>
          <w:numId w:val="5"/>
        </w:numPr>
        <w:ind w:left="709"/>
        <w:rPr>
          <w:rFonts w:cs="Arial"/>
        </w:rPr>
      </w:pPr>
      <w:r w:rsidRPr="009F4EB0">
        <w:rPr>
          <w:rFonts w:cs="Arial"/>
        </w:rPr>
        <w:t xml:space="preserve">Restock 1000ha by March 2018 (Amber) – Within 10% of profile for this point in the year despite delays due to ground nesting birds. The use of mechanical planting to extend the time available is partially helping to mitigate delays. </w:t>
      </w:r>
    </w:p>
    <w:p w:rsidR="00D407A5" w:rsidRDefault="00D407A5" w:rsidP="00D407A5">
      <w:pPr>
        <w:numPr>
          <w:ilvl w:val="0"/>
          <w:numId w:val="5"/>
        </w:numPr>
        <w:ind w:left="709"/>
        <w:rPr>
          <w:rFonts w:cs="Arial"/>
        </w:rPr>
      </w:pPr>
      <w:r w:rsidRPr="009F4EB0">
        <w:rPr>
          <w:rFonts w:cs="Arial"/>
        </w:rPr>
        <w:t xml:space="preserve">80% of actions on designated sites are complete or underway by March 2018 (Amber) – The annual programme was developed at the start of the year and is within 10% of the expected position for this point in the year. </w:t>
      </w:r>
    </w:p>
    <w:p w:rsidR="00D407A5" w:rsidRPr="00193142" w:rsidRDefault="00D407A5" w:rsidP="00D407A5">
      <w:pPr>
        <w:numPr>
          <w:ilvl w:val="0"/>
          <w:numId w:val="5"/>
        </w:numPr>
        <w:ind w:left="709"/>
        <w:rPr>
          <w:rFonts w:cs="Arial"/>
        </w:rPr>
      </w:pPr>
      <w:r w:rsidRPr="00C04E83">
        <w:rPr>
          <w:rFonts w:cs="Arial"/>
        </w:rPr>
        <w:t xml:space="preserve">Clear 715ha of trees on our estate to manage Larch disease (Amber) - We are developing a new method of reporting and are currently unable to confirm the clearance figure. We expect the clearance work to be broadly on track.  </w:t>
      </w:r>
      <w:r w:rsidRPr="00193142">
        <w:rPr>
          <w:rFonts w:cs="Arial"/>
        </w:rPr>
        <w:t xml:space="preserve">Detailed business reports, expected to be available in October, will confirm our position. </w:t>
      </w:r>
    </w:p>
    <w:p w:rsidR="00D407A5" w:rsidRPr="00193142" w:rsidRDefault="00D407A5" w:rsidP="00D407A5">
      <w:pPr>
        <w:numPr>
          <w:ilvl w:val="0"/>
          <w:numId w:val="5"/>
        </w:numPr>
        <w:ind w:left="709"/>
        <w:rPr>
          <w:rFonts w:cs="Arial"/>
        </w:rPr>
      </w:pPr>
      <w:proofErr w:type="gramStart"/>
      <w:r w:rsidRPr="00193142">
        <w:rPr>
          <w:rFonts w:cs="Arial"/>
        </w:rPr>
        <w:t>Deliver  an</w:t>
      </w:r>
      <w:proofErr w:type="gramEnd"/>
      <w:r w:rsidRPr="00193142">
        <w:rPr>
          <w:rFonts w:cs="Arial"/>
        </w:rPr>
        <w:t xml:space="preserve"> effective and co-ordinated incident response service by March 2018 (</w:t>
      </w:r>
      <w:r w:rsidRPr="009F4EB0">
        <w:rPr>
          <w:rFonts w:cs="Arial"/>
        </w:rPr>
        <w:t>to be confirmed</w:t>
      </w:r>
      <w:r w:rsidRPr="00193142">
        <w:rPr>
          <w:rFonts w:cs="Arial"/>
        </w:rPr>
        <w:t>) – Our Incident Management Business Board will determine the long-term targets and the milestones including, the percentage of incident reports closed within 30 days, the percentage of calls within our remit that are assessed within 1 hour of receipt, and, the percentage of “high” incidents responded within four hours. Once agreed, the targets and milestones will be available in early 2018 for the next scrutiny of this dashboard.</w:t>
      </w:r>
    </w:p>
    <w:p w:rsidR="00D407A5" w:rsidRPr="009F4EB0" w:rsidRDefault="00D407A5" w:rsidP="00D407A5">
      <w:pPr>
        <w:numPr>
          <w:ilvl w:val="0"/>
          <w:numId w:val="5"/>
        </w:numPr>
        <w:ind w:left="709"/>
        <w:rPr>
          <w:rFonts w:cs="Arial"/>
        </w:rPr>
      </w:pPr>
      <w:r w:rsidRPr="009F4EB0">
        <w:rPr>
          <w:rFonts w:cs="Arial"/>
        </w:rPr>
        <w:t>99% of high risk flood and coastal risk management assets at target condition (Amber) – Currently 98% are at target condition. The gap to the 99% target is 36 asset fixes which we expect to complete this year, although this could be affected depending upon any future flood related damage to assets.</w:t>
      </w:r>
    </w:p>
    <w:p w:rsidR="00D407A5" w:rsidRPr="009F4EB0" w:rsidRDefault="00D407A5" w:rsidP="00D407A5">
      <w:pPr>
        <w:numPr>
          <w:ilvl w:val="0"/>
          <w:numId w:val="5"/>
        </w:numPr>
        <w:ind w:left="709"/>
        <w:rPr>
          <w:rFonts w:cs="Arial"/>
        </w:rPr>
      </w:pPr>
      <w:r w:rsidRPr="009F4EB0">
        <w:rPr>
          <w:rFonts w:cs="Arial"/>
        </w:rPr>
        <w:t xml:space="preserve">Bring 700k m3 timber to market by March 2018 (Amber) – delivery is slightly below the profile for the year. We expect the profile to be met. </w:t>
      </w:r>
      <w:proofErr w:type="gramStart"/>
      <w:r w:rsidRPr="009F4EB0">
        <w:rPr>
          <w:rFonts w:cs="Arial"/>
        </w:rPr>
        <w:t>However</w:t>
      </w:r>
      <w:proofErr w:type="gramEnd"/>
      <w:r w:rsidRPr="009F4EB0">
        <w:rPr>
          <w:rFonts w:cs="Arial"/>
        </w:rPr>
        <w:t xml:space="preserve"> we would suggest that Board may wish to have a more in depth look at how we measure our timber production at a future meeting. The current measure has been in use for </w:t>
      </w:r>
      <w:proofErr w:type="gramStart"/>
      <w:r w:rsidRPr="009F4EB0">
        <w:rPr>
          <w:rFonts w:cs="Arial"/>
        </w:rPr>
        <w:t>a number of</w:t>
      </w:r>
      <w:proofErr w:type="gramEnd"/>
      <w:r w:rsidRPr="009F4EB0">
        <w:rPr>
          <w:rFonts w:cs="Arial"/>
        </w:rPr>
        <w:t xml:space="preserve"> years, but there may be an opportunity to develop more informative measures, looking at, for instance at improving profitability and/or meeting market demand.</w:t>
      </w:r>
    </w:p>
    <w:p w:rsidR="00D407A5" w:rsidRDefault="00D407A5" w:rsidP="00D407A5">
      <w:pPr>
        <w:numPr>
          <w:ilvl w:val="0"/>
          <w:numId w:val="5"/>
        </w:numPr>
        <w:ind w:left="709"/>
        <w:rPr>
          <w:rFonts w:cs="Arial"/>
        </w:rPr>
      </w:pPr>
      <w:r w:rsidRPr="009F4EB0">
        <w:rPr>
          <w:rFonts w:cs="Arial"/>
        </w:rPr>
        <w:lastRenderedPageBreak/>
        <w:t>Quality of collaboration (</w:t>
      </w:r>
      <w:r>
        <w:rPr>
          <w:rFonts w:cs="Arial"/>
        </w:rPr>
        <w:t>m</w:t>
      </w:r>
      <w:r w:rsidRPr="009F4EB0">
        <w:rPr>
          <w:rFonts w:cs="Arial"/>
        </w:rPr>
        <w:t>easure under development</w:t>
      </w:r>
      <w:r>
        <w:rPr>
          <w:rFonts w:cs="Arial"/>
        </w:rPr>
        <w:t xml:space="preserve"> and to be confirmed</w:t>
      </w:r>
      <w:r w:rsidRPr="009F4EB0">
        <w:rPr>
          <w:rFonts w:cs="Arial"/>
        </w:rPr>
        <w:t xml:space="preserve">) – we are currently looking in to two areas where we hope to be able to assess how well we collaborate. </w:t>
      </w:r>
      <w:proofErr w:type="gramStart"/>
      <w:r w:rsidRPr="009F4EB0">
        <w:rPr>
          <w:rFonts w:cs="Arial"/>
        </w:rPr>
        <w:t>Firstly</w:t>
      </w:r>
      <w:proofErr w:type="gramEnd"/>
      <w:r w:rsidRPr="009F4EB0">
        <w:rPr>
          <w:rFonts w:cs="Arial"/>
        </w:rPr>
        <w:t xml:space="preserve"> we will undertake a baseline external customer survey later this year, and secondly our new partnership funding model will be in place by April 2018. Both areas have potential for a future collaboration measure. We expect to retain this measure into 2018/19. </w:t>
      </w:r>
    </w:p>
    <w:p w:rsidR="00D407A5" w:rsidRDefault="00D407A5" w:rsidP="00D407A5">
      <w:pPr>
        <w:numPr>
          <w:ilvl w:val="0"/>
          <w:numId w:val="5"/>
        </w:numPr>
        <w:ind w:left="709"/>
        <w:rPr>
          <w:rFonts w:cs="Arial"/>
        </w:rPr>
      </w:pPr>
      <w:r w:rsidRPr="009F4EB0">
        <w:rPr>
          <w:rFonts w:cs="Arial"/>
        </w:rPr>
        <w:t xml:space="preserve">Our new organisational design is complete by 2018 (Amber) - The project plan has been revised to complete implementation of </w:t>
      </w:r>
      <w:proofErr w:type="spellStart"/>
      <w:r w:rsidRPr="009F4EB0">
        <w:rPr>
          <w:rFonts w:cs="Arial"/>
        </w:rPr>
        <w:t>orgainsational</w:t>
      </w:r>
      <w:proofErr w:type="spellEnd"/>
      <w:r w:rsidRPr="009F4EB0">
        <w:rPr>
          <w:rFonts w:cs="Arial"/>
        </w:rPr>
        <w:t xml:space="preserve"> design by March 2019. This requires increased resources. This timescale is demanding. We have been working to prepare a specification for the additional resource and procure it. The timeline will be challenging. </w:t>
      </w:r>
    </w:p>
    <w:p w:rsidR="00D407A5" w:rsidRPr="009F4EB0" w:rsidRDefault="00D407A5" w:rsidP="00D407A5">
      <w:pPr>
        <w:numPr>
          <w:ilvl w:val="0"/>
          <w:numId w:val="5"/>
        </w:numPr>
        <w:ind w:left="709"/>
        <w:rPr>
          <w:rFonts w:cs="Arial"/>
        </w:rPr>
      </w:pPr>
      <w:r>
        <w:rPr>
          <w:rFonts w:cs="Arial"/>
        </w:rPr>
        <w:t xml:space="preserve">Implementation of our People and Teams Strategy (Amber) - </w:t>
      </w:r>
      <w:r w:rsidRPr="00B91753">
        <w:rPr>
          <w:rFonts w:cs="Arial"/>
        </w:rPr>
        <w:t xml:space="preserve">People Survey options for 2017 will be considered by our </w:t>
      </w:r>
      <w:proofErr w:type="spellStart"/>
      <w:r w:rsidRPr="00B91753">
        <w:rPr>
          <w:rFonts w:cs="Arial"/>
        </w:rPr>
        <w:t>PaRC</w:t>
      </w:r>
      <w:proofErr w:type="spellEnd"/>
      <w:r w:rsidRPr="00B91753">
        <w:rPr>
          <w:rFonts w:cs="Arial"/>
        </w:rPr>
        <w:t xml:space="preserve"> committee in September 2017. Exact detail of the measure will be confirmed following this date. We will be aiming to improve staff engagement and how results are translated into action, with results that help to make things better</w:t>
      </w:r>
      <w:r>
        <w:rPr>
          <w:rFonts w:cs="Arial"/>
        </w:rPr>
        <w:t>.</w:t>
      </w:r>
    </w:p>
    <w:p w:rsidR="00D407A5" w:rsidRPr="0084714A" w:rsidRDefault="00D407A5" w:rsidP="00D407A5">
      <w:pPr>
        <w:rPr>
          <w:rFonts w:cs="Arial"/>
        </w:rPr>
      </w:pPr>
    </w:p>
    <w:p w:rsidR="00D407A5" w:rsidRDefault="00D407A5" w:rsidP="00D407A5">
      <w:pPr>
        <w:numPr>
          <w:ilvl w:val="0"/>
          <w:numId w:val="3"/>
        </w:numPr>
        <w:rPr>
          <w:rFonts w:cs="Arial"/>
        </w:rPr>
      </w:pPr>
      <w:r w:rsidRPr="00A27978">
        <w:rPr>
          <w:rFonts w:cs="Arial"/>
        </w:rPr>
        <w:t xml:space="preserve">The Chief Executive will provide a verbal summary of achievement at the Board meeting and members of Executive Team will be available to answer questions. </w:t>
      </w:r>
    </w:p>
    <w:p w:rsidR="00D407A5" w:rsidRPr="00B50898" w:rsidRDefault="00D407A5" w:rsidP="00D407A5">
      <w:pPr>
        <w:rPr>
          <w:rFonts w:cs="Arial"/>
          <w:b/>
          <w:u w:val="single"/>
        </w:rPr>
      </w:pPr>
    </w:p>
    <w:p w:rsidR="00D407A5" w:rsidRPr="002A6D55" w:rsidRDefault="00D407A5" w:rsidP="00D407A5">
      <w:pPr>
        <w:numPr>
          <w:ilvl w:val="0"/>
          <w:numId w:val="3"/>
        </w:numPr>
        <w:rPr>
          <w:rFonts w:cs="Arial"/>
          <w:u w:val="single"/>
        </w:rPr>
      </w:pPr>
      <w:r w:rsidRPr="00B50898">
        <w:rPr>
          <w:rFonts w:cs="Arial"/>
        </w:rPr>
        <w:t xml:space="preserve">The performance report will be submitted to </w:t>
      </w:r>
      <w:r>
        <w:rPr>
          <w:rFonts w:cs="Arial"/>
        </w:rPr>
        <w:t>the Minister for the Environment and Rural Affairs and it will be</w:t>
      </w:r>
      <w:r w:rsidRPr="002A6D55">
        <w:rPr>
          <w:rFonts w:cs="Arial"/>
        </w:rPr>
        <w:t xml:space="preserve"> </w:t>
      </w:r>
      <w:r>
        <w:rPr>
          <w:rFonts w:cs="Arial"/>
        </w:rPr>
        <w:t>published</w:t>
      </w:r>
      <w:r w:rsidRPr="002A6D55">
        <w:rPr>
          <w:rFonts w:cs="Arial"/>
        </w:rPr>
        <w:t xml:space="preserve"> </w:t>
      </w:r>
      <w:r>
        <w:rPr>
          <w:rFonts w:cs="Arial"/>
        </w:rPr>
        <w:t>on the Natural Resources Wales w</w:t>
      </w:r>
      <w:r w:rsidRPr="002A6D55">
        <w:rPr>
          <w:rFonts w:cs="Arial"/>
        </w:rPr>
        <w:t>ebsite.</w:t>
      </w:r>
    </w:p>
    <w:p w:rsidR="00D407A5" w:rsidRDefault="00D407A5" w:rsidP="00D407A5">
      <w:pPr>
        <w:rPr>
          <w:rFonts w:cs="Arial"/>
          <w:b/>
          <w:u w:val="single"/>
        </w:rPr>
      </w:pPr>
    </w:p>
    <w:p w:rsidR="00D407A5" w:rsidRDefault="00D407A5" w:rsidP="00D407A5">
      <w:pPr>
        <w:rPr>
          <w:rFonts w:cs="Arial"/>
          <w:b/>
          <w:u w:val="single"/>
        </w:rPr>
      </w:pPr>
      <w:r>
        <w:rPr>
          <w:rFonts w:cs="Arial"/>
          <w:b/>
          <w:u w:val="single"/>
        </w:rPr>
        <w:t>Recommendation</w:t>
      </w:r>
    </w:p>
    <w:p w:rsidR="00D407A5" w:rsidRDefault="00D407A5" w:rsidP="00D407A5">
      <w:pPr>
        <w:rPr>
          <w:rFonts w:cs="Arial"/>
          <w:b/>
          <w:u w:val="single"/>
        </w:rPr>
      </w:pPr>
    </w:p>
    <w:p w:rsidR="00D407A5" w:rsidRDefault="00D407A5" w:rsidP="00D407A5">
      <w:pPr>
        <w:numPr>
          <w:ilvl w:val="0"/>
          <w:numId w:val="3"/>
        </w:numPr>
        <w:rPr>
          <w:rFonts w:cs="Arial"/>
        </w:rPr>
      </w:pPr>
      <w:r>
        <w:rPr>
          <w:rFonts w:cs="Arial"/>
        </w:rPr>
        <w:t>The Board is requested to:</w:t>
      </w:r>
    </w:p>
    <w:p w:rsidR="00D407A5" w:rsidRDefault="00D407A5" w:rsidP="00D407A5">
      <w:pPr>
        <w:numPr>
          <w:ilvl w:val="0"/>
          <w:numId w:val="2"/>
        </w:numPr>
        <w:rPr>
          <w:rFonts w:cs="Arial"/>
        </w:rPr>
      </w:pPr>
      <w:r>
        <w:rPr>
          <w:rFonts w:cs="Arial"/>
        </w:rPr>
        <w:t>Scrutinise and agree the performance report for period one, prior to its submission to Welsh Government</w:t>
      </w:r>
    </w:p>
    <w:p w:rsidR="00D407A5" w:rsidRDefault="00D407A5" w:rsidP="00D407A5">
      <w:pPr>
        <w:rPr>
          <w:rFonts w:cs="Arial"/>
          <w:b/>
          <w:u w:val="single"/>
        </w:rPr>
      </w:pPr>
    </w:p>
    <w:p w:rsidR="00D407A5" w:rsidRDefault="00D407A5" w:rsidP="00D407A5">
      <w:pPr>
        <w:rPr>
          <w:rFonts w:cs="Arial"/>
          <w:b/>
          <w:u w:val="single"/>
        </w:rPr>
      </w:pPr>
      <w:r>
        <w:rPr>
          <w:rFonts w:cs="Arial"/>
          <w:b/>
          <w:u w:val="single"/>
        </w:rPr>
        <w:t xml:space="preserve">Key </w:t>
      </w:r>
      <w:r w:rsidRPr="00825EA4">
        <w:rPr>
          <w:rFonts w:cs="Arial"/>
          <w:b/>
          <w:u w:val="single"/>
        </w:rPr>
        <w:t>Risks</w:t>
      </w:r>
    </w:p>
    <w:p w:rsidR="00D407A5" w:rsidRPr="00825EA4" w:rsidRDefault="00D407A5" w:rsidP="00D407A5">
      <w:pPr>
        <w:rPr>
          <w:rFonts w:cs="Arial"/>
          <w:b/>
          <w:u w:val="single"/>
        </w:rPr>
      </w:pPr>
    </w:p>
    <w:p w:rsidR="00D407A5" w:rsidRDefault="00D407A5" w:rsidP="00D407A5">
      <w:pPr>
        <w:numPr>
          <w:ilvl w:val="0"/>
          <w:numId w:val="3"/>
        </w:numPr>
        <w:rPr>
          <w:rFonts w:cs="Arial"/>
        </w:rPr>
      </w:pPr>
      <w:r>
        <w:rPr>
          <w:rFonts w:cs="Arial"/>
        </w:rPr>
        <w:t>If the performance information provided does not accurately reflect progress towards Business/Corporate Plan Objectives, then the Board will be unable to fulfil their role to scrutinise NRW’s delivery.</w:t>
      </w:r>
    </w:p>
    <w:p w:rsidR="00D407A5" w:rsidRDefault="00D407A5" w:rsidP="00D407A5">
      <w:pPr>
        <w:ind w:left="720" w:hanging="720"/>
        <w:rPr>
          <w:rFonts w:cs="Arial"/>
          <w:b/>
          <w:u w:val="single"/>
        </w:rPr>
      </w:pPr>
    </w:p>
    <w:p w:rsidR="00D407A5" w:rsidRDefault="00D407A5" w:rsidP="00D407A5">
      <w:pPr>
        <w:ind w:left="720" w:hanging="720"/>
        <w:rPr>
          <w:rFonts w:cs="Arial"/>
          <w:b/>
          <w:u w:val="single"/>
        </w:rPr>
      </w:pPr>
      <w:r>
        <w:rPr>
          <w:rFonts w:cs="Arial"/>
          <w:b/>
          <w:u w:val="single"/>
        </w:rPr>
        <w:t>Financial Implications</w:t>
      </w:r>
    </w:p>
    <w:p w:rsidR="00D407A5" w:rsidRDefault="00D407A5" w:rsidP="00D407A5">
      <w:pPr>
        <w:ind w:left="720" w:hanging="720"/>
        <w:rPr>
          <w:rFonts w:cs="Arial"/>
          <w:b/>
          <w:u w:val="single"/>
        </w:rPr>
      </w:pPr>
    </w:p>
    <w:p w:rsidR="00D407A5" w:rsidRPr="00825EA4" w:rsidRDefault="00D407A5" w:rsidP="00D407A5">
      <w:pPr>
        <w:numPr>
          <w:ilvl w:val="0"/>
          <w:numId w:val="3"/>
        </w:numPr>
        <w:autoSpaceDE w:val="0"/>
        <w:autoSpaceDN w:val="0"/>
        <w:adjustRightInd w:val="0"/>
        <w:rPr>
          <w:rFonts w:cs="Arial"/>
        </w:rPr>
      </w:pPr>
      <w:r>
        <w:rPr>
          <w:rFonts w:cs="Arial"/>
        </w:rPr>
        <w:t xml:space="preserve">There are no significant financial implications in providing the performance report. </w:t>
      </w:r>
    </w:p>
    <w:p w:rsidR="00D407A5" w:rsidRDefault="00D407A5" w:rsidP="00D407A5">
      <w:pPr>
        <w:rPr>
          <w:rFonts w:cs="Arial"/>
          <w:b/>
          <w:u w:val="single"/>
        </w:rPr>
      </w:pPr>
    </w:p>
    <w:p w:rsidR="00D407A5" w:rsidRDefault="00D407A5" w:rsidP="00D407A5">
      <w:pPr>
        <w:rPr>
          <w:rFonts w:cs="Arial"/>
          <w:b/>
          <w:u w:val="single"/>
        </w:rPr>
      </w:pPr>
      <w:r>
        <w:rPr>
          <w:rFonts w:cs="Arial"/>
          <w:b/>
          <w:u w:val="single"/>
        </w:rPr>
        <w:t>Equality impact assessment (</w:t>
      </w:r>
      <w:proofErr w:type="spellStart"/>
      <w:r>
        <w:rPr>
          <w:rFonts w:cs="Arial"/>
          <w:b/>
          <w:u w:val="single"/>
        </w:rPr>
        <w:t>EqIA</w:t>
      </w:r>
      <w:proofErr w:type="spellEnd"/>
      <w:r>
        <w:rPr>
          <w:rFonts w:cs="Arial"/>
          <w:b/>
          <w:u w:val="single"/>
        </w:rPr>
        <w:t xml:space="preserve">)  </w:t>
      </w:r>
    </w:p>
    <w:p w:rsidR="00D407A5" w:rsidRDefault="00D407A5" w:rsidP="00D407A5">
      <w:pPr>
        <w:rPr>
          <w:rFonts w:cs="Arial"/>
        </w:rPr>
      </w:pPr>
    </w:p>
    <w:p w:rsidR="00D407A5" w:rsidRDefault="00D407A5" w:rsidP="00D407A5">
      <w:pPr>
        <w:numPr>
          <w:ilvl w:val="0"/>
          <w:numId w:val="3"/>
        </w:numPr>
        <w:rPr>
          <w:rFonts w:cs="Arial"/>
        </w:rPr>
      </w:pPr>
      <w:r>
        <w:rPr>
          <w:rFonts w:cs="Arial"/>
        </w:rPr>
        <w:t>An equality impact assessment was carried on the 2017/18 Business Plan</w:t>
      </w:r>
      <w:r w:rsidRPr="00303176">
        <w:rPr>
          <w:rFonts w:cs="Arial"/>
        </w:rPr>
        <w:t>.</w:t>
      </w:r>
    </w:p>
    <w:p w:rsidR="00D407A5" w:rsidRDefault="00D407A5" w:rsidP="00D407A5">
      <w:pPr>
        <w:tabs>
          <w:tab w:val="left" w:pos="1496"/>
        </w:tabs>
        <w:rPr>
          <w:rFonts w:cs="Arial"/>
        </w:rPr>
      </w:pPr>
      <w:r>
        <w:rPr>
          <w:rFonts w:cs="Arial"/>
        </w:rPr>
        <w:tab/>
      </w:r>
    </w:p>
    <w:p w:rsidR="00D407A5" w:rsidRPr="0095275F" w:rsidRDefault="00D407A5" w:rsidP="00D407A5">
      <w:pPr>
        <w:rPr>
          <w:rFonts w:cs="Arial"/>
          <w:b/>
          <w:u w:val="single"/>
        </w:rPr>
      </w:pPr>
      <w:r w:rsidRPr="0095275F">
        <w:rPr>
          <w:rFonts w:cs="Arial"/>
          <w:b/>
          <w:u w:val="single"/>
        </w:rPr>
        <w:t>Index of Annex</w:t>
      </w:r>
    </w:p>
    <w:p w:rsidR="00D407A5" w:rsidRDefault="00D407A5" w:rsidP="00D407A5">
      <w:pPr>
        <w:pStyle w:val="BodyText"/>
      </w:pPr>
    </w:p>
    <w:p w:rsidR="00D407A5" w:rsidRPr="000D2F02" w:rsidRDefault="00D407A5" w:rsidP="00D407A5">
      <w:pPr>
        <w:pStyle w:val="BodyText"/>
      </w:pPr>
      <w:r>
        <w:t xml:space="preserve">Annex 1 – </w:t>
      </w:r>
      <w:r w:rsidRPr="002C4650">
        <w:t>201</w:t>
      </w:r>
      <w:r>
        <w:t>7/18</w:t>
      </w:r>
      <w:r w:rsidRPr="002C4650">
        <w:t xml:space="preserve"> </w:t>
      </w:r>
      <w:r>
        <w:t xml:space="preserve">period one </w:t>
      </w:r>
      <w:r w:rsidRPr="002C4650">
        <w:t xml:space="preserve">performance report (1 April </w:t>
      </w:r>
      <w:r>
        <w:t xml:space="preserve">2017 </w:t>
      </w:r>
      <w:r w:rsidRPr="002C4650">
        <w:t>to 3</w:t>
      </w:r>
      <w:r>
        <w:t>1 July 2017</w:t>
      </w:r>
      <w:r w:rsidRPr="002C4650">
        <w:t>)</w:t>
      </w:r>
      <w:r>
        <w:t>.</w:t>
      </w:r>
    </w:p>
    <w:p w:rsidR="00C61A73" w:rsidRDefault="00C61A73"/>
    <w:sectPr w:rsidR="00C61A73" w:rsidSect="002131B6">
      <w:headerReference w:type="even" r:id="rId7"/>
      <w:headerReference w:type="default" r:id="rId8"/>
      <w:footerReference w:type="even" r:id="rId9"/>
      <w:footerReference w:type="default" r:id="rId10"/>
      <w:headerReference w:type="first" r:id="rId11"/>
      <w:footerReference w:type="first" r:id="rId12"/>
      <w:pgSz w:w="11920" w:h="16840"/>
      <w:pgMar w:top="2835"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87" w:rsidRDefault="008A5787">
      <w:r>
        <w:separator/>
      </w:r>
    </w:p>
  </w:endnote>
  <w:endnote w:type="continuationSeparator" w:id="0">
    <w:p w:rsidR="008A5787" w:rsidRDefault="008A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Default="008A5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Pr="000A4FBB" w:rsidRDefault="00D407A5" w:rsidP="000A4FBB">
    <w:pPr>
      <w:jc w:val="right"/>
    </w:pPr>
    <w:r>
      <w:rPr>
        <w:noProof/>
        <w:lang w:eastAsia="en-GB"/>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10023475</wp:posOffset>
              </wp:positionV>
              <wp:extent cx="5181600" cy="26098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76448" w:rsidRDefault="008A5787"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6.7pt;margin-top:789.25pt;width:408pt;height:2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" stroked="f" strokecolor="#005541" strokeweight="1pt">
              <v:textbox inset="0">
                <w:txbxContent>
                  <w:p w:rsidR="00876448" w:rsidRDefault="00F37F7A" w:rsidP="007B70A0"/>
                </w:txbxContent>
              </v:textbox>
              <w10:wrap anchorx="page" anchory="page"/>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page">
                <wp:posOffset>720090</wp:posOffset>
              </wp:positionH>
              <wp:positionV relativeFrom="page">
                <wp:posOffset>10246995</wp:posOffset>
              </wp:positionV>
              <wp:extent cx="3260725" cy="2178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76448" w:rsidRPr="000C3C4D" w:rsidRDefault="00F37F7A"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6.7pt;margin-top:806.85pt;width:256.75pt;height:1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" stroked="f" strokecolor="#005541" strokeweight="1pt">
              <v:textbox inset="0,0">
                <w:txbxContent>
                  <w:p w:rsidR="00876448" w:rsidRPr="000C3C4D" w:rsidRDefault="00F37F7A" w:rsidP="007B70A0">
                    <w:pPr>
                      <w:rPr>
                        <w:color w:val="0091A5"/>
                      </w:rPr>
                    </w:pPr>
                    <w:r w:rsidRPr="000C3C4D">
                      <w:rPr>
                        <w:color w:val="0091A5"/>
                        <w:sz w:val="20"/>
                        <w:szCs w:val="20"/>
                      </w:rPr>
                      <w:t>www.naturalresourceswales.gov.uk</w:t>
                    </w:r>
                  </w:p>
                </w:txbxContent>
              </v:textbox>
              <w10:wrap anchorx="page" anchory="page"/>
            </v:shape>
          </w:pict>
        </mc:Fallback>
      </mc:AlternateContent>
    </w:r>
    <w:r w:rsidR="00F37F7A">
      <w:t>Page</w:t>
    </w:r>
    <w:r w:rsidR="00F37F7A" w:rsidRPr="007B70A0">
      <w:rPr>
        <w:color w:val="0091A5"/>
      </w:rPr>
      <w:t xml:space="preserve"> </w:t>
    </w:r>
    <w:r w:rsidR="00F37F7A" w:rsidRPr="007B70A0">
      <w:rPr>
        <w:color w:val="0091A5"/>
      </w:rPr>
      <w:fldChar w:fldCharType="begin"/>
    </w:r>
    <w:r w:rsidR="00F37F7A" w:rsidRPr="007B70A0">
      <w:rPr>
        <w:color w:val="0091A5"/>
      </w:rPr>
      <w:instrText xml:space="preserve"> PAGE </w:instrText>
    </w:r>
    <w:r w:rsidR="00F37F7A" w:rsidRPr="007B70A0">
      <w:rPr>
        <w:color w:val="0091A5"/>
      </w:rPr>
      <w:fldChar w:fldCharType="separate"/>
    </w:r>
    <w:r w:rsidR="00604297">
      <w:rPr>
        <w:noProof/>
        <w:color w:val="0091A5"/>
      </w:rPr>
      <w:t>5</w:t>
    </w:r>
    <w:r w:rsidR="00F37F7A" w:rsidRPr="007B70A0">
      <w:rPr>
        <w:color w:val="0091A5"/>
      </w:rPr>
      <w:fldChar w:fldCharType="end"/>
    </w:r>
    <w:r w:rsidR="00F37F7A">
      <w:t xml:space="preserve"> of </w:t>
    </w:r>
    <w:r w:rsidR="00F37F7A" w:rsidRPr="007B70A0">
      <w:rPr>
        <w:color w:val="0091A5"/>
      </w:rPr>
      <w:fldChar w:fldCharType="begin"/>
    </w:r>
    <w:r w:rsidR="00F37F7A" w:rsidRPr="007B70A0">
      <w:rPr>
        <w:color w:val="0091A5"/>
      </w:rPr>
      <w:instrText xml:space="preserve"> NUMPAGES  </w:instrText>
    </w:r>
    <w:r w:rsidR="00F37F7A" w:rsidRPr="007B70A0">
      <w:rPr>
        <w:color w:val="0091A5"/>
      </w:rPr>
      <w:fldChar w:fldCharType="separate"/>
    </w:r>
    <w:r w:rsidR="00604297">
      <w:rPr>
        <w:noProof/>
        <w:color w:val="0091A5"/>
      </w:rPr>
      <w:t>5</w:t>
    </w:r>
    <w:r w:rsidR="00F37F7A" w:rsidRPr="007B70A0">
      <w:rPr>
        <w:color w:val="0091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Pr="000A4FBB" w:rsidRDefault="00D407A5" w:rsidP="000A4FBB">
    <w:pP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ragraph">
                <wp:posOffset>-38100</wp:posOffset>
              </wp:positionV>
              <wp:extent cx="5257800" cy="260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76448" w:rsidRDefault="008A5787" w:rsidP="007B70A0"/>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56.7pt;margin-top:-3pt;width:414pt;height:2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" stroked="f" strokecolor="#005541" strokeweight="1pt">
              <v:textbox inset="0">
                <w:txbxContent>
                  <w:p w:rsidR="00876448" w:rsidRDefault="00F37F7A" w:rsidP="007B70A0"/>
                </w:txbxContent>
              </v:textbox>
              <w10:wrap anchorx="page"/>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ragraph">
                <wp:posOffset>184785</wp:posOffset>
              </wp:positionV>
              <wp:extent cx="3260725"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76448" w:rsidRPr="000C3C4D" w:rsidRDefault="00F37F7A"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56.7pt;margin-top:14.5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" stroked="f" strokecolor="#005541" strokeweight="1pt">
              <v:textbox inset="0,0">
                <w:txbxContent>
                  <w:p w:rsidR="00876448" w:rsidRPr="000C3C4D" w:rsidRDefault="00F37F7A" w:rsidP="007B70A0">
                    <w:pPr>
                      <w:rPr>
                        <w:color w:val="0091A5"/>
                      </w:rPr>
                    </w:pPr>
                    <w:r w:rsidRPr="000C3C4D">
                      <w:rPr>
                        <w:color w:val="0091A5"/>
                        <w:sz w:val="20"/>
                        <w:szCs w:val="20"/>
                      </w:rPr>
                      <w:t>www.naturalresourceswales.gov.uk</w:t>
                    </w:r>
                  </w:p>
                </w:txbxContent>
              </v:textbox>
              <w10:wrap anchorx="page"/>
            </v:shape>
          </w:pict>
        </mc:Fallback>
      </mc:AlternateContent>
    </w:r>
    <w:r w:rsidR="00F37F7A">
      <w:t xml:space="preserve">Page </w:t>
    </w:r>
    <w:r w:rsidR="00F37F7A" w:rsidRPr="007B70A0">
      <w:rPr>
        <w:color w:val="0091A5"/>
      </w:rPr>
      <w:fldChar w:fldCharType="begin"/>
    </w:r>
    <w:r w:rsidR="00F37F7A" w:rsidRPr="007B70A0">
      <w:rPr>
        <w:color w:val="0091A5"/>
      </w:rPr>
      <w:instrText xml:space="preserve"> PAGE </w:instrText>
    </w:r>
    <w:r w:rsidR="00F37F7A" w:rsidRPr="007B70A0">
      <w:rPr>
        <w:color w:val="0091A5"/>
      </w:rPr>
      <w:fldChar w:fldCharType="separate"/>
    </w:r>
    <w:r w:rsidR="00604297">
      <w:rPr>
        <w:noProof/>
        <w:color w:val="0091A5"/>
      </w:rPr>
      <w:t>1</w:t>
    </w:r>
    <w:r w:rsidR="00F37F7A" w:rsidRPr="007B70A0">
      <w:rPr>
        <w:color w:val="0091A5"/>
      </w:rPr>
      <w:fldChar w:fldCharType="end"/>
    </w:r>
    <w:r w:rsidR="00F37F7A">
      <w:t xml:space="preserve"> of </w:t>
    </w:r>
    <w:r w:rsidR="00F37F7A" w:rsidRPr="007B70A0">
      <w:rPr>
        <w:color w:val="0091A5"/>
      </w:rPr>
      <w:fldChar w:fldCharType="begin"/>
    </w:r>
    <w:r w:rsidR="00F37F7A" w:rsidRPr="007B70A0">
      <w:rPr>
        <w:color w:val="0091A5"/>
      </w:rPr>
      <w:instrText xml:space="preserve"> NUMPAGES  </w:instrText>
    </w:r>
    <w:r w:rsidR="00F37F7A" w:rsidRPr="007B70A0">
      <w:rPr>
        <w:color w:val="0091A5"/>
      </w:rPr>
      <w:fldChar w:fldCharType="separate"/>
    </w:r>
    <w:r w:rsidR="00604297">
      <w:rPr>
        <w:noProof/>
        <w:color w:val="0091A5"/>
      </w:rPr>
      <w:t>5</w:t>
    </w:r>
    <w:r w:rsidR="00F37F7A" w:rsidRPr="007B70A0">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87" w:rsidRDefault="008A5787">
      <w:r>
        <w:separator/>
      </w:r>
    </w:p>
  </w:footnote>
  <w:footnote w:type="continuationSeparator" w:id="0">
    <w:p w:rsidR="008A5787" w:rsidRDefault="008A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Default="008A5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Default="008A5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8A5787">
    <w:pPr>
      <w:pStyle w:val="Header"/>
    </w:pPr>
  </w:p>
  <w:p w:rsidR="00876448" w:rsidRDefault="00D407A5">
    <w:pPr>
      <w:pStyle w:val="Header"/>
    </w:pPr>
    <w:r>
      <w:rPr>
        <w:noProof/>
        <w:lang w:eastAsia="en-GB"/>
      </w:rPr>
      <w:drawing>
        <wp:anchor distT="0" distB="0" distL="114300" distR="114300" simplePos="0" relativeHeight="251664384" behindDoc="1" locked="1" layoutInCell="1" allowOverlap="1">
          <wp:simplePos x="0" y="0"/>
          <wp:positionH relativeFrom="page">
            <wp:posOffset>720090</wp:posOffset>
          </wp:positionH>
          <wp:positionV relativeFrom="page">
            <wp:posOffset>900430</wp:posOffset>
          </wp:positionV>
          <wp:extent cx="1800225" cy="1238250"/>
          <wp:effectExtent l="0" t="0" r="9525" b="0"/>
          <wp:wrapNone/>
          <wp:docPr id="4" name="Picture 4"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1" layoutInCell="1" allowOverlap="1">
              <wp:simplePos x="0" y="0"/>
              <wp:positionH relativeFrom="column">
                <wp:posOffset>2599690</wp:posOffset>
              </wp:positionH>
              <wp:positionV relativeFrom="page">
                <wp:posOffset>781050</wp:posOffset>
              </wp:positionV>
              <wp:extent cx="3640455" cy="1405890"/>
              <wp:effectExtent l="0" t="0" r="171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rsidR="00876448" w:rsidRPr="000C3C4D" w:rsidRDefault="00F37F7A" w:rsidP="000C40E4">
                          <w:pPr>
                            <w:jc w:val="right"/>
                            <w:rPr>
                              <w:color w:val="0091A5"/>
                              <w:sz w:val="96"/>
                              <w:szCs w:val="96"/>
                            </w:rPr>
                          </w:pPr>
                          <w:r>
                            <w:rPr>
                              <w:color w:val="0091A5"/>
                              <w:sz w:val="96"/>
                              <w:szCs w:val="96"/>
                            </w:rPr>
                            <w:t>Board Paper</w:t>
                          </w:r>
                          <w:r w:rsidRPr="000C3C4D">
                            <w:rPr>
                              <w:color w:val="0091A5"/>
                              <w:sz w:val="96"/>
                              <w:szCs w:val="96"/>
                            </w:rPr>
                            <w:t xml:space="preserve"> </w:t>
                          </w:r>
                          <w:r w:rsidRPr="000C3C4D">
                            <w:rPr>
                              <w:color w:val="0091A5"/>
                              <w:sz w:val="96"/>
                              <w:szCs w:val="96"/>
                            </w:rPr>
                            <w:br/>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04.7pt;margin-top:61.5pt;width:286.65pt;height:1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" filled="f" stroked="f" strokecolor="#005541" strokeweight="1pt">
              <v:textbox inset=",,0">
                <w:txbxContent>
                  <w:p w:rsidR="00876448" w:rsidRPr="000C3C4D" w:rsidRDefault="00F37F7A" w:rsidP="000C40E4">
                    <w:pPr>
                      <w:jc w:val="right"/>
                      <w:rPr>
                        <w:color w:val="0091A5"/>
                        <w:sz w:val="96"/>
                        <w:szCs w:val="96"/>
                      </w:rPr>
                    </w:pPr>
                    <w:r>
                      <w:rPr>
                        <w:color w:val="0091A5"/>
                        <w:sz w:val="96"/>
                        <w:szCs w:val="96"/>
                      </w:rPr>
                      <w:t>Board Paper</w:t>
                    </w:r>
                    <w:r w:rsidRPr="000C3C4D">
                      <w:rPr>
                        <w:color w:val="0091A5"/>
                        <w:sz w:val="96"/>
                        <w:szCs w:val="96"/>
                      </w:rPr>
                      <w:t xml:space="preserve"> </w:t>
                    </w:r>
                    <w:r w:rsidRPr="000C3C4D">
                      <w:rPr>
                        <w:color w:val="0091A5"/>
                        <w:sz w:val="96"/>
                        <w:szCs w:val="96"/>
                      </w:rPr>
                      <w:br/>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46301A5"/>
    <w:multiLevelType w:val="hybridMultilevel"/>
    <w:tmpl w:val="9002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577B4"/>
    <w:multiLevelType w:val="hybridMultilevel"/>
    <w:tmpl w:val="2A2A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806ED"/>
    <w:multiLevelType w:val="hybridMultilevel"/>
    <w:tmpl w:val="B4BC48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915D2"/>
    <w:multiLevelType w:val="hybridMultilevel"/>
    <w:tmpl w:val="228E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9856B8B"/>
    <w:multiLevelType w:val="hybridMultilevel"/>
    <w:tmpl w:val="00FE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55C1D"/>
    <w:multiLevelType w:val="hybridMultilevel"/>
    <w:tmpl w:val="B4CE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A5"/>
    <w:rsid w:val="00604297"/>
    <w:rsid w:val="008A5787"/>
    <w:rsid w:val="008E272C"/>
    <w:rsid w:val="00C61A73"/>
    <w:rsid w:val="00D407A5"/>
    <w:rsid w:val="00D65CD4"/>
    <w:rsid w:val="00F3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3EDB"/>
  <w15:chartTrackingRefBased/>
  <w15:docId w15:val="{9F6408A3-AF9C-4363-8D12-6A62BEBD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07A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407A5"/>
    <w:pPr>
      <w:tabs>
        <w:tab w:val="center" w:pos="4513"/>
        <w:tab w:val="right" w:pos="9026"/>
      </w:tabs>
    </w:pPr>
  </w:style>
  <w:style w:type="character" w:customStyle="1" w:styleId="HeaderChar">
    <w:name w:val="Header Char"/>
    <w:basedOn w:val="DefaultParagraphFont"/>
    <w:link w:val="Header"/>
    <w:semiHidden/>
    <w:rsid w:val="00D407A5"/>
    <w:rPr>
      <w:rFonts w:ascii="Arial" w:eastAsia="Times New Roman" w:hAnsi="Arial" w:cs="Times New Roman"/>
      <w:sz w:val="24"/>
      <w:szCs w:val="24"/>
    </w:rPr>
  </w:style>
  <w:style w:type="paragraph" w:styleId="Footer">
    <w:name w:val="footer"/>
    <w:basedOn w:val="Normal"/>
    <w:link w:val="FooterChar"/>
    <w:semiHidden/>
    <w:rsid w:val="00D407A5"/>
    <w:pPr>
      <w:tabs>
        <w:tab w:val="center" w:pos="4513"/>
        <w:tab w:val="right" w:pos="9026"/>
      </w:tabs>
    </w:pPr>
  </w:style>
  <w:style w:type="character" w:customStyle="1" w:styleId="FooterChar">
    <w:name w:val="Footer Char"/>
    <w:basedOn w:val="DefaultParagraphFont"/>
    <w:link w:val="Footer"/>
    <w:semiHidden/>
    <w:rsid w:val="00D407A5"/>
    <w:rPr>
      <w:rFonts w:ascii="Arial" w:eastAsia="Times New Roman" w:hAnsi="Arial" w:cs="Times New Roman"/>
      <w:sz w:val="24"/>
      <w:szCs w:val="24"/>
    </w:rPr>
  </w:style>
  <w:style w:type="paragraph" w:customStyle="1" w:styleId="Bullets">
    <w:name w:val="Bullets"/>
    <w:basedOn w:val="Normal"/>
    <w:qFormat/>
    <w:rsid w:val="00D407A5"/>
    <w:pPr>
      <w:numPr>
        <w:numId w:val="1"/>
      </w:numPr>
    </w:pPr>
    <w:rPr>
      <w:color w:val="000000"/>
    </w:rPr>
  </w:style>
  <w:style w:type="paragraph" w:styleId="BodyText">
    <w:name w:val="Body Text"/>
    <w:basedOn w:val="Normal"/>
    <w:link w:val="BodyTextChar"/>
    <w:qFormat/>
    <w:rsid w:val="00D407A5"/>
    <w:rPr>
      <w:color w:val="000000"/>
    </w:rPr>
  </w:style>
  <w:style w:type="character" w:customStyle="1" w:styleId="BodyTextChar">
    <w:name w:val="Body Text Char"/>
    <w:basedOn w:val="DefaultParagraphFont"/>
    <w:link w:val="BodyText"/>
    <w:rsid w:val="00D407A5"/>
    <w:rPr>
      <w:rFonts w:ascii="Arial" w:eastAsia="Times New Roman"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Donigiewicz, Noemi</dc:creator>
  <cp:keywords/>
  <dc:description/>
  <cp:lastModifiedBy>Donigiewicz, Noemi</cp:lastModifiedBy>
  <cp:revision>3</cp:revision>
  <dcterms:created xsi:type="dcterms:W3CDTF">2017-09-11T08:49:00Z</dcterms:created>
  <dcterms:modified xsi:type="dcterms:W3CDTF">2017-09-12T15:41:00Z</dcterms:modified>
</cp:coreProperties>
</file>